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会计硕士专业学位点2021年度建设报告</w:t>
      </w:r>
    </w:p>
    <w:p>
      <w:pPr>
        <w:autoSpaceDE w:val="0"/>
        <w:ind w:firstLine="0" w:firstLineChars="0"/>
        <w:jc w:val="center"/>
        <w:rPr>
          <w:rFonts w:ascii="黑体" w:hAnsi="黑体" w:eastAsia="黑体"/>
          <w:sz w:val="32"/>
          <w:szCs w:val="32"/>
        </w:rPr>
      </w:pPr>
      <w:r>
        <w:rPr>
          <w:rFonts w:hint="eastAsia" w:ascii="黑体" w:hAnsi="黑体" w:eastAsia="黑体"/>
          <w:sz w:val="32"/>
          <w:szCs w:val="32"/>
        </w:rPr>
        <w:t>Ⅰ 总体概况</w:t>
      </w:r>
    </w:p>
    <w:p>
      <w:pPr>
        <w:ind w:firstLine="560"/>
      </w:pPr>
      <w:r>
        <w:rPr>
          <w:rFonts w:hint="eastAsia" w:ascii="仿宋" w:hAnsi="仿宋"/>
          <w:color w:val="FF0000"/>
          <w:szCs w:val="28"/>
        </w:rPr>
        <w:t>学位授权点基本情况，学科建设情况，研究生招生、在读、毕业、学位授予及就业基本状况，研究生导师状况(总体规模、队伍结构)。</w:t>
      </w:r>
      <w:r>
        <w:rPr>
          <w:rStyle w:val="17"/>
          <w:rFonts w:hint="eastAsia" w:ascii="宋体" w:hAnsi="宋体" w:eastAsia="宋体"/>
        </w:rPr>
        <w:t>Ⅰ-1</w:t>
      </w:r>
      <w:r>
        <w:rPr>
          <w:rStyle w:val="17"/>
          <w:rFonts w:ascii="宋体" w:hAnsi="宋体" w:eastAsia="宋体"/>
        </w:rPr>
        <w:t xml:space="preserve"> </w:t>
      </w:r>
      <w:r>
        <w:rPr>
          <w:rStyle w:val="17"/>
          <w:rFonts w:hint="eastAsia" w:ascii="宋体" w:hAnsi="宋体" w:eastAsia="宋体"/>
        </w:rPr>
        <w:t>会计专硕学位授权点基本情况</w:t>
      </w:r>
    </w:p>
    <w:p>
      <w:pPr>
        <w:ind w:firstLine="0" w:firstLineChars="0"/>
        <w:rPr>
          <w:rFonts w:ascii="仿宋" w:hAnsi="仿宋"/>
          <w:b/>
          <w:bCs/>
          <w:szCs w:val="28"/>
        </w:rPr>
      </w:pPr>
      <w:r>
        <w:rPr>
          <w:rFonts w:hint="eastAsia" w:ascii="仿宋" w:hAnsi="仿宋"/>
          <w:b/>
          <w:bCs/>
          <w:szCs w:val="28"/>
        </w:rPr>
        <w:t>Ⅰ-1-1</w:t>
      </w:r>
      <w:r>
        <w:rPr>
          <w:rFonts w:ascii="仿宋" w:hAnsi="仿宋"/>
          <w:b/>
          <w:bCs/>
          <w:szCs w:val="28"/>
        </w:rPr>
        <w:t xml:space="preserve"> </w:t>
      </w:r>
      <w:r>
        <w:rPr>
          <w:rFonts w:hint="eastAsia" w:ascii="仿宋" w:hAnsi="仿宋"/>
          <w:b/>
          <w:bCs/>
          <w:szCs w:val="28"/>
        </w:rPr>
        <w:t>学位点建设进展情况</w:t>
      </w:r>
    </w:p>
    <w:p>
      <w:pPr>
        <w:ind w:firstLine="560"/>
        <w:rPr>
          <w:rFonts w:ascii="仿宋" w:hAnsi="仿宋"/>
          <w:szCs w:val="28"/>
        </w:rPr>
      </w:pPr>
      <w:r>
        <w:rPr>
          <w:rFonts w:hint="eastAsia" w:ascii="仿宋" w:hAnsi="仿宋"/>
          <w:szCs w:val="28"/>
        </w:rPr>
        <w:t>会计学院前身为1984年成立的新疆财经学院会计系。2007年，会计系更名为新疆财经大学大学会计学院。2009年</w:t>
      </w:r>
      <w:r>
        <w:rPr>
          <w:rFonts w:ascii="仿宋" w:hAnsi="仿宋"/>
          <w:szCs w:val="28"/>
        </w:rPr>
        <w:t>获得会计</w:t>
      </w:r>
      <w:r>
        <w:rPr>
          <w:rFonts w:hint="eastAsia" w:ascii="仿宋" w:hAnsi="仿宋"/>
          <w:szCs w:val="28"/>
        </w:rPr>
        <w:t>专硕</w:t>
      </w:r>
      <w:r>
        <w:rPr>
          <w:rFonts w:ascii="仿宋" w:hAnsi="仿宋"/>
          <w:szCs w:val="28"/>
        </w:rPr>
        <w:t>学位授权点</w:t>
      </w:r>
      <w:r>
        <w:rPr>
          <w:rFonts w:hint="eastAsia" w:ascii="仿宋" w:hAnsi="仿宋"/>
          <w:szCs w:val="28"/>
        </w:rPr>
        <w:t>，2010年会计专硕开始招生。2021年度，该学位点共培养学生318人，授予学位人数125人，研究生立项科研创新项目2项。学位点共有校内导师29人，校外导师45名。学位点在学术队伍、学术平台、学术声誉和影响力等各方面均已取得了较好成绩。</w:t>
      </w:r>
    </w:p>
    <w:p>
      <w:pPr>
        <w:ind w:firstLine="560"/>
        <w:rPr>
          <w:rFonts w:ascii="仿宋" w:hAnsi="仿宋"/>
          <w:szCs w:val="28"/>
        </w:rPr>
      </w:pPr>
      <w:r>
        <w:rPr>
          <w:rFonts w:hint="eastAsia" w:ascii="仿宋" w:hAnsi="仿宋"/>
          <w:szCs w:val="28"/>
        </w:rPr>
        <w:t>学院积极吸引优秀生源，不断提升生源质量。2021级会计专硕生源中，毕业于“双一流”高校、“双一流学科”的优质生源覆盖全国。2021年，会计专硕一共完成216名会计专硕研究生入学复试、181名会计专硕新生入学、117名会计专硕研究生毕业答辩。推进产教融合协同育人，2个自治区级产学研联合培养研究生示范基地通过验收，新建3个实习实践基地，共开展研究生学术诚信系列讲座5场，研究生的科研诚信意识不断加强与提升。</w:t>
      </w:r>
    </w:p>
    <w:p>
      <w:pPr>
        <w:ind w:firstLine="0" w:firstLineChars="0"/>
        <w:rPr>
          <w:rFonts w:ascii="仿宋" w:hAnsi="仿宋"/>
          <w:b/>
          <w:bCs/>
          <w:szCs w:val="28"/>
        </w:rPr>
      </w:pPr>
      <w:r>
        <w:rPr>
          <w:rFonts w:hint="eastAsia" w:ascii="仿宋" w:hAnsi="仿宋"/>
          <w:b/>
          <w:bCs/>
          <w:szCs w:val="28"/>
        </w:rPr>
        <w:t>Ⅰ-1-2培养目标</w:t>
      </w:r>
    </w:p>
    <w:p>
      <w:pPr>
        <w:ind w:firstLine="560"/>
        <w:rPr>
          <w:rFonts w:ascii="仿宋" w:hAnsi="仿宋"/>
          <w:szCs w:val="28"/>
        </w:rPr>
      </w:pPr>
      <w:r>
        <w:rPr>
          <w:rFonts w:hint="eastAsia" w:ascii="仿宋" w:hAnsi="仿宋"/>
          <w:szCs w:val="28"/>
        </w:rPr>
        <w:t>以习近平新时代中国特色社会主义思想为指导，以立德树人为根本任务，旨在培养政治合格和德智体美劳全面发展、热爱会计事业，具有良好职业道德、进取精神和创新意识，实事求是的科学态度；系统掌握现代会计理论与实务及其相关领域的知识与技能，能够熟练运用现代会计、财务、审计及相关领域的专业知识解决实际问题，从事高层次会计管理工作所必备的战略意识和领导潜质的高层次、应用型、复合型的会计专门人才。</w:t>
      </w:r>
    </w:p>
    <w:p>
      <w:pPr>
        <w:ind w:firstLine="0" w:firstLineChars="0"/>
        <w:rPr>
          <w:rFonts w:ascii="仿宋" w:hAnsi="仿宋"/>
          <w:b/>
          <w:bCs/>
          <w:szCs w:val="28"/>
        </w:rPr>
      </w:pPr>
      <w:r>
        <w:rPr>
          <w:rFonts w:hint="eastAsia" w:ascii="仿宋" w:hAnsi="仿宋"/>
          <w:b/>
          <w:bCs/>
          <w:szCs w:val="28"/>
        </w:rPr>
        <w:t>Ⅰ-1-3学位标准</w:t>
      </w:r>
    </w:p>
    <w:p>
      <w:pPr>
        <w:ind w:firstLine="560"/>
        <w:rPr>
          <w:rFonts w:ascii="仿宋" w:hAnsi="仿宋"/>
          <w:szCs w:val="28"/>
        </w:rPr>
      </w:pPr>
      <w:r>
        <w:rPr>
          <w:rFonts w:hint="eastAsia" w:ascii="仿宋" w:hAnsi="仿宋"/>
          <w:szCs w:val="28"/>
        </w:rPr>
        <w:t>1、达到学校规定的毕业条件。</w:t>
      </w:r>
    </w:p>
    <w:p>
      <w:pPr>
        <w:ind w:firstLine="560"/>
        <w:rPr>
          <w:rFonts w:ascii="仿宋" w:hAnsi="仿宋"/>
          <w:szCs w:val="28"/>
        </w:rPr>
      </w:pPr>
      <w:r>
        <w:rPr>
          <w:rFonts w:hint="eastAsia" w:ascii="仿宋" w:hAnsi="仿宋"/>
          <w:szCs w:val="28"/>
        </w:rPr>
        <w:t>2、专业学位研究生在读期间满足以下条件之一：</w:t>
      </w:r>
    </w:p>
    <w:p>
      <w:pPr>
        <w:ind w:firstLine="560"/>
        <w:rPr>
          <w:rFonts w:ascii="仿宋" w:hAnsi="仿宋"/>
          <w:szCs w:val="28"/>
        </w:rPr>
      </w:pPr>
      <w:r>
        <w:rPr>
          <w:rFonts w:hint="eastAsia" w:ascii="仿宋" w:hAnsi="仿宋"/>
          <w:szCs w:val="28"/>
        </w:rPr>
        <w:t>（1）符合学术学位研究生学位申请科研条件之一；</w:t>
      </w:r>
    </w:p>
    <w:p>
      <w:pPr>
        <w:ind w:firstLine="560"/>
        <w:rPr>
          <w:rFonts w:ascii="仿宋" w:hAnsi="仿宋"/>
          <w:szCs w:val="28"/>
        </w:rPr>
      </w:pPr>
      <w:r>
        <w:rPr>
          <w:rFonts w:hint="eastAsia" w:ascii="仿宋" w:hAnsi="仿宋"/>
          <w:szCs w:val="28"/>
        </w:rPr>
        <w:t xml:space="preserve">（2）获得与专业相关的授权实用新型专利（或计算机软件著作权）1项； </w:t>
      </w:r>
    </w:p>
    <w:p>
      <w:pPr>
        <w:ind w:firstLine="560"/>
        <w:rPr>
          <w:rFonts w:ascii="仿宋" w:hAnsi="仿宋"/>
          <w:szCs w:val="28"/>
        </w:rPr>
      </w:pPr>
      <w:r>
        <w:rPr>
          <w:rFonts w:hint="eastAsia" w:ascii="仿宋" w:hAnsi="仿宋"/>
          <w:szCs w:val="28"/>
        </w:rPr>
        <w:t xml:space="preserve">（3）主持完成校级研究生科研创新项目； </w:t>
      </w:r>
    </w:p>
    <w:p>
      <w:pPr>
        <w:ind w:firstLine="560"/>
        <w:rPr>
          <w:rFonts w:ascii="仿宋" w:hAnsi="仿宋"/>
          <w:szCs w:val="28"/>
        </w:rPr>
      </w:pPr>
      <w:r>
        <w:rPr>
          <w:rFonts w:hint="eastAsia" w:ascii="仿宋" w:hAnsi="仿宋"/>
          <w:szCs w:val="28"/>
        </w:rPr>
        <w:t xml:space="preserve">（4）在公开发行的期刊（月刊及以上刊期）上以第一作者身份发表1篇学术论文。 </w:t>
      </w:r>
    </w:p>
    <w:p>
      <w:pPr>
        <w:ind w:firstLine="0" w:firstLineChars="0"/>
        <w:rPr>
          <w:rStyle w:val="17"/>
          <w:rFonts w:ascii="宋体" w:hAnsi="宋体" w:eastAsia="宋体"/>
        </w:rPr>
      </w:pPr>
      <w:r>
        <w:rPr>
          <w:rStyle w:val="17"/>
          <w:rFonts w:hint="eastAsia" w:ascii="宋体" w:hAnsi="宋体" w:eastAsia="宋体"/>
        </w:rPr>
        <w:t>Ⅰ-2</w:t>
      </w:r>
      <w:r>
        <w:rPr>
          <w:rStyle w:val="17"/>
          <w:rFonts w:ascii="宋体" w:hAnsi="宋体" w:eastAsia="宋体"/>
        </w:rPr>
        <w:t xml:space="preserve"> </w:t>
      </w:r>
      <w:r>
        <w:rPr>
          <w:rStyle w:val="17"/>
          <w:rFonts w:hint="eastAsia" w:ascii="宋体" w:hAnsi="宋体" w:eastAsia="宋体"/>
        </w:rPr>
        <w:t>学科建设情况</w:t>
      </w:r>
    </w:p>
    <w:p>
      <w:pPr>
        <w:ind w:firstLine="0" w:firstLineChars="0"/>
        <w:rPr>
          <w:rFonts w:ascii="仿宋" w:hAnsi="仿宋"/>
          <w:b/>
          <w:bCs/>
          <w:szCs w:val="28"/>
        </w:rPr>
      </w:pPr>
      <w:r>
        <w:rPr>
          <w:rFonts w:hint="eastAsia" w:ascii="仿宋" w:hAnsi="仿宋"/>
          <w:b/>
          <w:bCs/>
          <w:szCs w:val="28"/>
        </w:rPr>
        <w:t>Ⅰ-2-1</w:t>
      </w:r>
      <w:r>
        <w:rPr>
          <w:rFonts w:ascii="仿宋" w:hAnsi="仿宋"/>
          <w:b/>
          <w:bCs/>
          <w:szCs w:val="28"/>
        </w:rPr>
        <w:t xml:space="preserve"> </w:t>
      </w:r>
      <w:r>
        <w:rPr>
          <w:rFonts w:hint="eastAsia" w:ascii="仿宋" w:hAnsi="仿宋"/>
          <w:b/>
          <w:bCs/>
          <w:szCs w:val="28"/>
        </w:rPr>
        <w:t>学科方向、特色和优势</w:t>
      </w:r>
    </w:p>
    <w:p>
      <w:pPr>
        <w:pStyle w:val="2"/>
        <w:spacing w:after="0"/>
        <w:ind w:left="0" w:leftChars="0" w:firstLine="560"/>
        <w:rPr>
          <w:rFonts w:ascii="仿宋" w:hAnsi="仿宋"/>
          <w:szCs w:val="28"/>
        </w:rPr>
      </w:pPr>
      <w:r>
        <w:rPr>
          <w:rFonts w:hint="eastAsia" w:ascii="仿宋" w:hAnsi="仿宋"/>
          <w:szCs w:val="28"/>
        </w:rPr>
        <w:t>学科方向为会计信息与资本市场。本方向以现代资本市场理论体系建构特征为基础，依据资本市场理论的主要模型与方法，研究基于资本市场与制度经济学理论的会计实现机制与效果测度、企业价值与投融资决策、盈余质量；资源分配与价值补偿等之间的关系问题。</w:t>
      </w:r>
    </w:p>
    <w:p>
      <w:pPr>
        <w:pStyle w:val="2"/>
        <w:spacing w:after="0"/>
        <w:ind w:left="0" w:leftChars="0" w:firstLine="560"/>
        <w:rPr>
          <w:rFonts w:ascii="仿宋" w:hAnsi="仿宋"/>
          <w:szCs w:val="28"/>
        </w:rPr>
      </w:pPr>
      <w:r>
        <w:rPr>
          <w:rFonts w:hint="eastAsia" w:ascii="仿宋" w:hAnsi="仿宋"/>
          <w:szCs w:val="28"/>
        </w:rPr>
        <w:t>特色：围绕丝绸之路经济带核心区建设和行业产业发展，发挥在会计信息与资本市场领域深厚积淀的优势，研究主要聚焦：①国内国际双循环、科技变革与产业变革背景下，</w:t>
      </w:r>
      <w:r>
        <w:rPr>
          <w:rFonts w:ascii="仿宋" w:hAnsi="仿宋"/>
          <w:szCs w:val="28"/>
        </w:rPr>
        <w:t>构建</w:t>
      </w:r>
      <w:r>
        <w:rPr>
          <w:rFonts w:hint="eastAsia" w:ascii="仿宋" w:hAnsi="仿宋"/>
          <w:szCs w:val="28"/>
        </w:rPr>
        <w:t>企业</w:t>
      </w:r>
      <w:r>
        <w:rPr>
          <w:rFonts w:ascii="仿宋" w:hAnsi="仿宋"/>
          <w:szCs w:val="28"/>
        </w:rPr>
        <w:t>以价值导向驱动</w:t>
      </w:r>
      <w:r>
        <w:rPr>
          <w:rFonts w:hint="eastAsia" w:ascii="仿宋" w:hAnsi="仿宋"/>
          <w:szCs w:val="28"/>
        </w:rPr>
        <w:t>、</w:t>
      </w:r>
      <w:r>
        <w:rPr>
          <w:rFonts w:ascii="仿宋" w:hAnsi="仿宋"/>
          <w:szCs w:val="28"/>
        </w:rPr>
        <w:t>业财融合承载</w:t>
      </w:r>
      <w:r>
        <w:rPr>
          <w:rFonts w:hint="eastAsia" w:ascii="仿宋" w:hAnsi="仿宋"/>
          <w:szCs w:val="28"/>
        </w:rPr>
        <w:t>、</w:t>
      </w:r>
      <w:r>
        <w:rPr>
          <w:rFonts w:ascii="仿宋" w:hAnsi="仿宋"/>
          <w:szCs w:val="28"/>
        </w:rPr>
        <w:t>精益管理赋能为核心的价值创造型财务体系</w:t>
      </w:r>
      <w:r>
        <w:rPr>
          <w:rFonts w:hint="eastAsia" w:ascii="仿宋" w:hAnsi="仿宋"/>
          <w:szCs w:val="28"/>
        </w:rPr>
        <w:t>，助力企业提升管理水平②基于企业投资、融资、运营、技术创新等视角，厘清丝绸之路经济带核心区建设中财政补贴、税收优惠、政府干预宏观政策变革对新疆企业财务行为的影响机理，优化企业财务行为，提升资本市场资源配置效率，助力新疆企业组织创新与转型升级，为新疆经济高质量发展打造新动能。</w:t>
      </w:r>
    </w:p>
    <w:p>
      <w:pPr>
        <w:pStyle w:val="2"/>
        <w:spacing w:after="0"/>
        <w:ind w:left="0" w:leftChars="0" w:firstLine="560"/>
        <w:rPr>
          <w:rFonts w:ascii="仿宋" w:hAnsi="仿宋"/>
          <w:szCs w:val="28"/>
        </w:rPr>
      </w:pPr>
      <w:r>
        <w:rPr>
          <w:rFonts w:hint="eastAsia" w:ascii="仿宋" w:hAnsi="仿宋"/>
          <w:szCs w:val="28"/>
        </w:rPr>
        <w:t>优势：（1）拥有新疆规模最大、结构合理、长期研究会计信息、资本市场与组织治理问题的稳定师资团队；（2）</w:t>
      </w:r>
      <w:r>
        <w:rPr>
          <w:rFonts w:ascii="仿宋" w:hAnsi="仿宋"/>
          <w:szCs w:val="28"/>
        </w:rPr>
        <w:t>科研成果丰硕，重点领域优势突出</w:t>
      </w:r>
      <w:r>
        <w:rPr>
          <w:rFonts w:hint="eastAsia" w:ascii="仿宋" w:hAnsi="仿宋"/>
          <w:szCs w:val="28"/>
        </w:rPr>
        <w:t>；（3）新疆最重要的会计人才培养基地：培养具有良好职业操守、新时代发展理念、管理创新能力、社会责任感、发挥财会工作对经营决策支撑作用、提升价值创造能力的高素质人才成效显著；</w:t>
      </w:r>
      <w:r>
        <w:rPr>
          <w:rFonts w:hint="eastAsia" w:ascii="仿宋" w:hAnsi="仿宋"/>
          <w:szCs w:val="28"/>
          <w:lang w:eastAsia="zh-CN"/>
        </w:rPr>
        <w:t>同时也是</w:t>
      </w:r>
      <w:r>
        <w:rPr>
          <w:rFonts w:hint="eastAsia" w:ascii="仿宋" w:hAnsi="仿宋"/>
          <w:szCs w:val="28"/>
        </w:rPr>
        <w:t>新疆本地唯一的高级会计师继续教育基地。</w:t>
      </w:r>
    </w:p>
    <w:p>
      <w:pPr>
        <w:ind w:firstLine="0" w:firstLineChars="0"/>
        <w:rPr>
          <w:rFonts w:ascii="仿宋" w:hAnsi="仿宋"/>
          <w:b/>
          <w:bCs/>
          <w:szCs w:val="28"/>
        </w:rPr>
      </w:pPr>
      <w:r>
        <w:rPr>
          <w:rFonts w:hint="eastAsia" w:ascii="仿宋" w:hAnsi="仿宋"/>
          <w:b/>
          <w:bCs/>
          <w:szCs w:val="28"/>
        </w:rPr>
        <w:t>Ⅰ-2-2</w:t>
      </w:r>
      <w:r>
        <w:rPr>
          <w:rFonts w:ascii="仿宋" w:hAnsi="仿宋"/>
          <w:b/>
          <w:bCs/>
          <w:szCs w:val="28"/>
        </w:rPr>
        <w:t xml:space="preserve"> </w:t>
      </w:r>
      <w:r>
        <w:rPr>
          <w:rFonts w:hint="eastAsia" w:ascii="仿宋" w:hAnsi="仿宋"/>
          <w:b/>
          <w:bCs/>
          <w:szCs w:val="28"/>
        </w:rPr>
        <w:t>学科团队</w:t>
      </w:r>
    </w:p>
    <w:p>
      <w:pPr>
        <w:spacing w:line="560" w:lineRule="exact"/>
        <w:ind w:firstLine="560"/>
        <w:rPr>
          <w:rFonts w:ascii="仿宋" w:hAnsi="仿宋"/>
          <w:szCs w:val="28"/>
        </w:rPr>
      </w:pPr>
      <w:r>
        <w:rPr>
          <w:rFonts w:hint="eastAsia" w:ascii="仿宋" w:hAnsi="仿宋"/>
          <w:szCs w:val="28"/>
        </w:rPr>
        <w:t>本学科现有专任教师</w:t>
      </w:r>
      <w:r>
        <w:rPr>
          <w:rFonts w:ascii="仿宋" w:hAnsi="仿宋"/>
          <w:szCs w:val="28"/>
        </w:rPr>
        <w:t>40</w:t>
      </w:r>
      <w:r>
        <w:rPr>
          <w:rFonts w:hint="eastAsia" w:ascii="仿宋" w:hAnsi="仿宋"/>
          <w:szCs w:val="28"/>
        </w:rPr>
        <w:t>人，</w:t>
      </w:r>
      <w:r>
        <w:rPr>
          <w:rFonts w:ascii="仿宋" w:hAnsi="仿宋"/>
          <w:szCs w:val="28"/>
        </w:rPr>
        <w:t>16</w:t>
      </w:r>
      <w:r>
        <w:rPr>
          <w:rFonts w:hint="eastAsia" w:ascii="仿宋" w:hAnsi="仿宋"/>
          <w:szCs w:val="28"/>
        </w:rPr>
        <w:t>名教授，</w:t>
      </w:r>
      <w:r>
        <w:rPr>
          <w:rFonts w:ascii="仿宋" w:hAnsi="仿宋"/>
          <w:szCs w:val="28"/>
        </w:rPr>
        <w:t>1</w:t>
      </w:r>
      <w:r>
        <w:rPr>
          <w:rFonts w:hint="eastAsia" w:ascii="仿宋" w:hAnsi="仿宋"/>
          <w:szCs w:val="28"/>
        </w:rPr>
        <w:t>4名副教授，高级职称教师占专职教师总数的</w:t>
      </w:r>
      <w:r>
        <w:rPr>
          <w:rFonts w:ascii="仿宋" w:hAnsi="仿宋"/>
          <w:szCs w:val="28"/>
        </w:rPr>
        <w:t>75</w:t>
      </w:r>
      <w:r>
        <w:rPr>
          <w:rFonts w:hint="eastAsia" w:ascii="仿宋" w:hAnsi="仿宋"/>
          <w:szCs w:val="28"/>
        </w:rPr>
        <w:t>%；</w:t>
      </w:r>
      <w:r>
        <w:rPr>
          <w:rFonts w:ascii="仿宋" w:hAnsi="仿宋"/>
          <w:szCs w:val="28"/>
        </w:rPr>
        <w:t>2</w:t>
      </w:r>
      <w:r>
        <w:rPr>
          <w:rFonts w:hint="eastAsia" w:ascii="仿宋" w:hAnsi="仿宋"/>
          <w:szCs w:val="28"/>
        </w:rPr>
        <w:t>3名教师获得博士学位，占专职教师总数的</w:t>
      </w:r>
      <w:r>
        <w:rPr>
          <w:rFonts w:ascii="仿宋" w:hAnsi="仿宋"/>
          <w:szCs w:val="28"/>
        </w:rPr>
        <w:t>60</w:t>
      </w:r>
      <w:r>
        <w:rPr>
          <w:rFonts w:hint="eastAsia" w:ascii="仿宋" w:hAnsi="仿宋"/>
          <w:szCs w:val="28"/>
        </w:rPr>
        <w:t>%，职称学历结构合理。</w:t>
      </w:r>
    </w:p>
    <w:p>
      <w:pPr>
        <w:spacing w:line="560" w:lineRule="exact"/>
        <w:ind w:firstLine="560"/>
        <w:rPr>
          <w:rFonts w:ascii="仿宋" w:hAnsi="仿宋"/>
          <w:szCs w:val="28"/>
        </w:rPr>
      </w:pPr>
      <w:r>
        <w:rPr>
          <w:rFonts w:hint="eastAsia" w:ascii="仿宋" w:hAnsi="仿宋"/>
          <w:szCs w:val="28"/>
        </w:rPr>
        <w:t>聘用上海财经大学靳庆鲁教授，上海交通大学夏立军教授作为特聘教授为自治区“天池学者”特聘教授，重点支持学科各方向的建设和人才培养等工作。</w:t>
      </w:r>
      <w:bookmarkStart w:id="0" w:name="_Hlk96635711"/>
    </w:p>
    <w:p>
      <w:pPr>
        <w:ind w:firstLine="0" w:firstLineChars="0"/>
        <w:rPr>
          <w:rStyle w:val="17"/>
          <w:rFonts w:ascii="宋体" w:hAnsi="宋体" w:eastAsia="宋体"/>
        </w:rPr>
      </w:pPr>
      <w:r>
        <w:rPr>
          <w:rStyle w:val="17"/>
          <w:rFonts w:hint="eastAsia" w:ascii="宋体" w:hAnsi="宋体" w:eastAsia="宋体"/>
        </w:rPr>
        <w:t>Ⅰ-3</w:t>
      </w:r>
      <w:r>
        <w:rPr>
          <w:rStyle w:val="17"/>
          <w:rFonts w:ascii="宋体" w:hAnsi="宋体" w:eastAsia="宋体"/>
        </w:rPr>
        <w:t xml:space="preserve"> </w:t>
      </w:r>
      <w:r>
        <w:rPr>
          <w:rStyle w:val="17"/>
          <w:rFonts w:hint="eastAsia" w:ascii="宋体" w:hAnsi="宋体" w:eastAsia="宋体"/>
        </w:rPr>
        <w:t>研究生招生、在读、毕业、学位授予及就业基本状况</w:t>
      </w:r>
    </w:p>
    <w:bookmarkEnd w:id="0"/>
    <w:p>
      <w:pPr>
        <w:ind w:firstLine="0" w:firstLineChars="0"/>
        <w:rPr>
          <w:rFonts w:ascii="仿宋" w:hAnsi="仿宋"/>
          <w:b/>
          <w:bCs/>
          <w:szCs w:val="28"/>
        </w:rPr>
      </w:pPr>
      <w:r>
        <w:rPr>
          <w:rFonts w:hint="eastAsia" w:ascii="仿宋" w:hAnsi="仿宋"/>
          <w:b/>
          <w:bCs/>
          <w:szCs w:val="28"/>
        </w:rPr>
        <w:t>Ⅰ-3-1</w:t>
      </w:r>
      <w:r>
        <w:rPr>
          <w:rFonts w:ascii="仿宋" w:hAnsi="仿宋"/>
          <w:b/>
          <w:bCs/>
          <w:szCs w:val="28"/>
        </w:rPr>
        <w:t xml:space="preserve"> </w:t>
      </w:r>
      <w:r>
        <w:rPr>
          <w:rFonts w:hint="eastAsia" w:ascii="仿宋" w:hAnsi="仿宋"/>
          <w:b/>
          <w:bCs/>
          <w:szCs w:val="28"/>
        </w:rPr>
        <w:t>招生和学位授予情况</w:t>
      </w:r>
    </w:p>
    <w:p>
      <w:pPr>
        <w:pStyle w:val="2"/>
        <w:ind w:left="0" w:leftChars="0" w:firstLine="560"/>
        <w:rPr>
          <w:rFonts w:ascii="仿宋" w:hAnsi="仿宋"/>
          <w:szCs w:val="28"/>
        </w:rPr>
      </w:pPr>
      <w:bookmarkStart w:id="1" w:name="_Hlk96635723"/>
      <w:r>
        <w:rPr>
          <w:rFonts w:hint="eastAsia" w:ascii="仿宋" w:hAnsi="仿宋"/>
          <w:szCs w:val="28"/>
        </w:rPr>
        <w:t>2021年度，本学位点招收研究生181人，本学位点在读研究生318人，本学位点毕业研究生1</w:t>
      </w:r>
      <w:r>
        <w:rPr>
          <w:rFonts w:ascii="仿宋" w:hAnsi="仿宋"/>
          <w:szCs w:val="28"/>
        </w:rPr>
        <w:t>17</w:t>
      </w:r>
      <w:r>
        <w:rPr>
          <w:rFonts w:hint="eastAsia" w:ascii="仿宋" w:hAnsi="仿宋"/>
          <w:szCs w:val="28"/>
        </w:rPr>
        <w:t>人，本学位点授予学位研究生125人，本学位点就业研究生115人。</w:t>
      </w:r>
    </w:p>
    <w:tbl>
      <w:tblPr>
        <w:tblStyle w:val="9"/>
        <w:tblW w:w="8294"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4276"/>
        <w:gridCol w:w="177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jc w:val="center"/>
        </w:trPr>
        <w:tc>
          <w:tcPr>
            <w:tcW w:w="2245" w:type="dxa"/>
          </w:tcPr>
          <w:p>
            <w:pPr>
              <w:pStyle w:val="14"/>
              <w:spacing w:before="56" w:line="240" w:lineRule="auto"/>
              <w:ind w:firstLine="411" w:firstLineChars="195"/>
              <w:rPr>
                <w:rFonts w:ascii="仿宋" w:hAnsi="仿宋"/>
                <w:b/>
                <w:bCs/>
                <w:sz w:val="21"/>
              </w:rPr>
            </w:pPr>
            <w:bookmarkStart w:id="2" w:name="_Hlk96635781"/>
            <w:r>
              <w:rPr>
                <w:rFonts w:ascii="仿宋" w:hAnsi="仿宋"/>
                <w:b/>
                <w:bCs/>
                <w:sz w:val="21"/>
              </w:rPr>
              <w:t>学科方向名称</w:t>
            </w:r>
          </w:p>
        </w:tc>
        <w:tc>
          <w:tcPr>
            <w:tcW w:w="4276" w:type="dxa"/>
          </w:tcPr>
          <w:p>
            <w:pPr>
              <w:pStyle w:val="14"/>
              <w:spacing w:before="56" w:line="240" w:lineRule="auto"/>
              <w:ind w:left="1293" w:right="1287" w:firstLine="422"/>
              <w:jc w:val="center"/>
              <w:rPr>
                <w:rFonts w:ascii="仿宋" w:hAnsi="仿宋"/>
                <w:b/>
                <w:bCs/>
                <w:sz w:val="21"/>
              </w:rPr>
            </w:pPr>
            <w:r>
              <w:rPr>
                <w:rFonts w:ascii="仿宋" w:hAnsi="仿宋"/>
                <w:b/>
                <w:bCs/>
                <w:sz w:val="21"/>
              </w:rPr>
              <w:t>项目</w:t>
            </w:r>
          </w:p>
        </w:tc>
        <w:tc>
          <w:tcPr>
            <w:tcW w:w="1773" w:type="dxa"/>
          </w:tcPr>
          <w:p>
            <w:pPr>
              <w:pStyle w:val="14"/>
              <w:spacing w:before="56" w:line="240" w:lineRule="auto"/>
              <w:ind w:firstLineChars="95"/>
              <w:jc w:val="center"/>
              <w:rPr>
                <w:rFonts w:ascii="仿宋" w:hAnsi="仿宋"/>
                <w:b/>
                <w:bCs/>
                <w:sz w:val="21"/>
              </w:rPr>
            </w:pPr>
            <w:r>
              <w:rPr>
                <w:rFonts w:ascii="仿宋" w:hAnsi="仿宋"/>
                <w:b/>
                <w:bCs/>
                <w:sz w:val="21"/>
              </w:rPr>
              <w:t>2021 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2245" w:type="dxa"/>
            <w:vMerge w:val="restart"/>
            <w:tcBorders>
              <w:top w:val="nil"/>
            </w:tcBorders>
          </w:tcPr>
          <w:p>
            <w:pPr>
              <w:pStyle w:val="14"/>
              <w:spacing w:line="240" w:lineRule="auto"/>
              <w:ind w:firstLine="420"/>
              <w:rPr>
                <w:rFonts w:ascii="仿宋" w:hAnsi="仿宋"/>
                <w:sz w:val="21"/>
              </w:rPr>
            </w:pPr>
          </w:p>
          <w:p>
            <w:pPr>
              <w:pStyle w:val="14"/>
              <w:spacing w:line="240" w:lineRule="auto"/>
              <w:ind w:firstLine="0" w:firstLineChars="0"/>
              <w:rPr>
                <w:rFonts w:ascii="仿宋" w:hAnsi="仿宋"/>
                <w:sz w:val="21"/>
              </w:rPr>
            </w:pPr>
          </w:p>
          <w:p>
            <w:pPr>
              <w:pStyle w:val="14"/>
              <w:spacing w:line="240" w:lineRule="auto"/>
              <w:ind w:firstLine="0" w:firstLineChars="0"/>
              <w:rPr>
                <w:rFonts w:ascii="仿宋" w:hAnsi="仿宋"/>
                <w:sz w:val="21"/>
              </w:rPr>
            </w:pPr>
          </w:p>
          <w:p>
            <w:pPr>
              <w:pStyle w:val="14"/>
              <w:spacing w:line="240" w:lineRule="auto"/>
              <w:ind w:firstLine="0" w:firstLineChars="0"/>
              <w:jc w:val="center"/>
              <w:rPr>
                <w:rFonts w:ascii="仿宋" w:hAnsi="仿宋"/>
                <w:sz w:val="21"/>
              </w:rPr>
            </w:pPr>
            <w:r>
              <w:rPr>
                <w:rFonts w:hint="eastAsia" w:ascii="仿宋" w:hAnsi="仿宋"/>
                <w:sz w:val="21"/>
              </w:rPr>
              <w:t>会计信息与资本市场</w:t>
            </w:r>
          </w:p>
        </w:tc>
        <w:tc>
          <w:tcPr>
            <w:tcW w:w="4276" w:type="dxa"/>
          </w:tcPr>
          <w:p>
            <w:pPr>
              <w:pStyle w:val="14"/>
              <w:spacing w:before="55" w:line="240" w:lineRule="auto"/>
              <w:ind w:left="8" w:firstLine="420"/>
              <w:rPr>
                <w:rFonts w:ascii="仿宋" w:hAnsi="仿宋"/>
                <w:sz w:val="21"/>
              </w:rPr>
            </w:pPr>
            <w:r>
              <w:rPr>
                <w:rFonts w:ascii="仿宋" w:hAnsi="仿宋"/>
                <w:sz w:val="21"/>
              </w:rPr>
              <w:t>研究生招生人数</w:t>
            </w:r>
          </w:p>
        </w:tc>
        <w:tc>
          <w:tcPr>
            <w:tcW w:w="1773" w:type="dxa"/>
            <w:vAlign w:val="center"/>
          </w:tcPr>
          <w:p>
            <w:pPr>
              <w:pStyle w:val="14"/>
              <w:spacing w:line="240" w:lineRule="auto"/>
              <w:ind w:firstLine="420"/>
              <w:jc w:val="center"/>
              <w:rPr>
                <w:rFonts w:ascii="仿宋" w:hAnsi="仿宋"/>
                <w:sz w:val="21"/>
              </w:rPr>
            </w:pPr>
            <w:r>
              <w:rPr>
                <w:rFonts w:hint="eastAsia" w:ascii="仿宋" w:hAnsi="仿宋"/>
                <w:sz w:val="21"/>
              </w:rPr>
              <w:t>181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2245" w:type="dxa"/>
            <w:vMerge w:val="continue"/>
            <w:tcBorders>
              <w:top w:val="nil"/>
            </w:tcBorders>
          </w:tcPr>
          <w:p>
            <w:pPr>
              <w:spacing w:line="240" w:lineRule="auto"/>
              <w:ind w:firstLine="420"/>
              <w:rPr>
                <w:rFonts w:ascii="仿宋" w:hAnsi="仿宋"/>
                <w:sz w:val="21"/>
              </w:rPr>
            </w:pPr>
          </w:p>
        </w:tc>
        <w:tc>
          <w:tcPr>
            <w:tcW w:w="4276" w:type="dxa"/>
          </w:tcPr>
          <w:p>
            <w:pPr>
              <w:pStyle w:val="14"/>
              <w:spacing w:before="54" w:line="240" w:lineRule="auto"/>
              <w:ind w:right="1096" w:firstLine="397"/>
              <w:jc w:val="right"/>
              <w:rPr>
                <w:rFonts w:ascii="仿宋" w:hAnsi="仿宋"/>
                <w:sz w:val="21"/>
              </w:rPr>
            </w:pPr>
            <w:r>
              <w:rPr>
                <w:rFonts w:ascii="仿宋" w:hAnsi="仿宋"/>
                <w:w w:val="95"/>
                <w:sz w:val="21"/>
              </w:rPr>
              <w:t>其中：全日制招生人数</w:t>
            </w:r>
          </w:p>
        </w:tc>
        <w:tc>
          <w:tcPr>
            <w:tcW w:w="1773" w:type="dxa"/>
            <w:vAlign w:val="center"/>
          </w:tcPr>
          <w:p>
            <w:pPr>
              <w:pStyle w:val="14"/>
              <w:spacing w:line="240" w:lineRule="auto"/>
              <w:ind w:firstLine="420"/>
              <w:jc w:val="center"/>
              <w:rPr>
                <w:rFonts w:ascii="仿宋" w:hAnsi="仿宋"/>
                <w:sz w:val="21"/>
              </w:rPr>
            </w:pPr>
            <w:r>
              <w:rPr>
                <w:rFonts w:hint="eastAsia" w:ascii="仿宋" w:hAnsi="仿宋"/>
                <w:sz w:val="21"/>
              </w:rPr>
              <w:t>181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245" w:type="dxa"/>
            <w:vMerge w:val="continue"/>
            <w:tcBorders>
              <w:top w:val="nil"/>
            </w:tcBorders>
          </w:tcPr>
          <w:p>
            <w:pPr>
              <w:spacing w:line="240" w:lineRule="auto"/>
              <w:ind w:firstLine="420"/>
              <w:rPr>
                <w:rFonts w:ascii="仿宋" w:hAnsi="仿宋"/>
                <w:sz w:val="21"/>
              </w:rPr>
            </w:pPr>
          </w:p>
        </w:tc>
        <w:tc>
          <w:tcPr>
            <w:tcW w:w="4276" w:type="dxa"/>
          </w:tcPr>
          <w:p>
            <w:pPr>
              <w:pStyle w:val="14"/>
              <w:spacing w:before="54" w:line="240" w:lineRule="auto"/>
              <w:ind w:right="897" w:firstLine="397"/>
              <w:jc w:val="right"/>
              <w:rPr>
                <w:rFonts w:ascii="仿宋" w:hAnsi="仿宋"/>
                <w:sz w:val="21"/>
              </w:rPr>
            </w:pPr>
            <w:r>
              <w:rPr>
                <w:rFonts w:ascii="仿宋" w:hAnsi="仿宋"/>
                <w:w w:val="95"/>
                <w:sz w:val="21"/>
              </w:rPr>
              <w:t>非全日制招生人数</w:t>
            </w:r>
          </w:p>
        </w:tc>
        <w:tc>
          <w:tcPr>
            <w:tcW w:w="1773" w:type="dxa"/>
            <w:vAlign w:val="center"/>
          </w:tcPr>
          <w:p>
            <w:pPr>
              <w:pStyle w:val="14"/>
              <w:spacing w:line="240" w:lineRule="auto"/>
              <w:ind w:firstLine="420"/>
              <w:jc w:val="center"/>
              <w:rPr>
                <w:rFonts w:ascii="仿宋" w:hAnsi="仿宋"/>
                <w:sz w:val="21"/>
              </w:rPr>
            </w:pPr>
            <w:r>
              <w:rPr>
                <w:rFonts w:hint="eastAsia" w:ascii="仿宋" w:hAnsi="仿宋"/>
                <w:sz w:val="21"/>
              </w:rP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2245" w:type="dxa"/>
            <w:vMerge w:val="continue"/>
            <w:tcBorders>
              <w:top w:val="nil"/>
            </w:tcBorders>
          </w:tcPr>
          <w:p>
            <w:pPr>
              <w:spacing w:line="240" w:lineRule="auto"/>
              <w:ind w:firstLine="420"/>
              <w:rPr>
                <w:rFonts w:ascii="仿宋" w:hAnsi="仿宋"/>
                <w:sz w:val="21"/>
              </w:rPr>
            </w:pPr>
          </w:p>
        </w:tc>
        <w:tc>
          <w:tcPr>
            <w:tcW w:w="4276" w:type="dxa"/>
          </w:tcPr>
          <w:p>
            <w:pPr>
              <w:pStyle w:val="14"/>
              <w:spacing w:before="56" w:line="240" w:lineRule="auto"/>
              <w:ind w:left="8" w:firstLine="420"/>
              <w:rPr>
                <w:rFonts w:ascii="仿宋" w:hAnsi="仿宋"/>
                <w:sz w:val="21"/>
              </w:rPr>
            </w:pPr>
            <w:r>
              <w:rPr>
                <w:rFonts w:ascii="仿宋" w:hAnsi="仿宋"/>
                <w:sz w:val="21"/>
              </w:rPr>
              <w:t>招录学生中本科推免生人数</w:t>
            </w:r>
          </w:p>
        </w:tc>
        <w:tc>
          <w:tcPr>
            <w:tcW w:w="1773" w:type="dxa"/>
            <w:vAlign w:val="center"/>
          </w:tcPr>
          <w:p>
            <w:pPr>
              <w:pStyle w:val="14"/>
              <w:spacing w:line="240" w:lineRule="auto"/>
              <w:ind w:firstLine="420"/>
              <w:jc w:val="center"/>
              <w:rPr>
                <w:rFonts w:ascii="仿宋" w:hAnsi="仿宋"/>
                <w:sz w:val="21"/>
              </w:rPr>
            </w:pPr>
            <w:r>
              <w:rPr>
                <w:rFonts w:hint="eastAsia" w:ascii="仿宋" w:hAnsi="仿宋"/>
                <w:sz w:val="21"/>
              </w:rP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2245" w:type="dxa"/>
            <w:vMerge w:val="continue"/>
            <w:tcBorders>
              <w:top w:val="nil"/>
            </w:tcBorders>
          </w:tcPr>
          <w:p>
            <w:pPr>
              <w:spacing w:line="240" w:lineRule="auto"/>
              <w:ind w:firstLine="420"/>
              <w:rPr>
                <w:rFonts w:ascii="仿宋" w:hAnsi="仿宋"/>
                <w:sz w:val="21"/>
              </w:rPr>
            </w:pPr>
          </w:p>
        </w:tc>
        <w:tc>
          <w:tcPr>
            <w:tcW w:w="4276" w:type="dxa"/>
          </w:tcPr>
          <w:p>
            <w:pPr>
              <w:pStyle w:val="14"/>
              <w:spacing w:before="55" w:line="240" w:lineRule="auto"/>
              <w:ind w:left="8" w:firstLine="420"/>
              <w:rPr>
                <w:rFonts w:ascii="仿宋" w:hAnsi="仿宋"/>
                <w:sz w:val="21"/>
              </w:rPr>
            </w:pPr>
            <w:r>
              <w:rPr>
                <w:rFonts w:ascii="仿宋" w:hAnsi="仿宋"/>
                <w:sz w:val="21"/>
              </w:rPr>
              <w:t>招录学生中普通招考人数</w:t>
            </w:r>
          </w:p>
        </w:tc>
        <w:tc>
          <w:tcPr>
            <w:tcW w:w="1773" w:type="dxa"/>
            <w:vAlign w:val="center"/>
          </w:tcPr>
          <w:p>
            <w:pPr>
              <w:pStyle w:val="14"/>
              <w:spacing w:line="240" w:lineRule="auto"/>
              <w:ind w:firstLine="420"/>
              <w:jc w:val="center"/>
              <w:rPr>
                <w:rFonts w:ascii="仿宋" w:hAnsi="仿宋"/>
                <w:sz w:val="21"/>
              </w:rPr>
            </w:pPr>
            <w:r>
              <w:rPr>
                <w:rFonts w:hint="eastAsia" w:ascii="仿宋" w:hAnsi="仿宋"/>
                <w:sz w:val="21"/>
              </w:rPr>
              <w:t>181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2245" w:type="dxa"/>
            <w:vMerge w:val="continue"/>
            <w:tcBorders>
              <w:top w:val="nil"/>
            </w:tcBorders>
          </w:tcPr>
          <w:p>
            <w:pPr>
              <w:spacing w:line="240" w:lineRule="auto"/>
              <w:ind w:firstLine="420"/>
              <w:rPr>
                <w:rFonts w:ascii="仿宋" w:hAnsi="仿宋"/>
                <w:sz w:val="21"/>
              </w:rPr>
            </w:pPr>
          </w:p>
        </w:tc>
        <w:tc>
          <w:tcPr>
            <w:tcW w:w="4276" w:type="dxa"/>
          </w:tcPr>
          <w:p>
            <w:pPr>
              <w:pStyle w:val="14"/>
              <w:spacing w:before="55" w:line="240" w:lineRule="auto"/>
              <w:ind w:left="8" w:firstLine="420"/>
              <w:rPr>
                <w:rFonts w:ascii="仿宋" w:hAnsi="仿宋"/>
                <w:sz w:val="21"/>
              </w:rPr>
            </w:pPr>
            <w:r>
              <w:rPr>
                <w:rFonts w:ascii="仿宋" w:hAnsi="仿宋"/>
                <w:sz w:val="21"/>
              </w:rPr>
              <w:t>授予学位人数</w:t>
            </w:r>
          </w:p>
        </w:tc>
        <w:tc>
          <w:tcPr>
            <w:tcW w:w="1773" w:type="dxa"/>
            <w:vAlign w:val="center"/>
          </w:tcPr>
          <w:p>
            <w:pPr>
              <w:pStyle w:val="14"/>
              <w:spacing w:line="240" w:lineRule="auto"/>
              <w:ind w:firstLine="420"/>
              <w:jc w:val="center"/>
              <w:rPr>
                <w:rFonts w:ascii="仿宋" w:hAnsi="仿宋"/>
                <w:sz w:val="21"/>
              </w:rPr>
            </w:pPr>
            <w:r>
              <w:rPr>
                <w:rFonts w:hint="eastAsia" w:ascii="仿宋" w:hAnsi="仿宋"/>
                <w:sz w:val="21"/>
              </w:rPr>
              <w:t>117</w:t>
            </w:r>
          </w:p>
        </w:tc>
      </w:tr>
      <w:bookmarkEnd w:id="1"/>
      <w:bookmarkEnd w:id="2"/>
    </w:tbl>
    <w:p>
      <w:pPr>
        <w:pStyle w:val="2"/>
        <w:ind w:left="0" w:leftChars="0" w:firstLine="0" w:firstLineChars="0"/>
        <w:rPr>
          <w:rFonts w:ascii="仿宋" w:hAnsi="仿宋"/>
          <w:b/>
          <w:bCs/>
          <w:szCs w:val="28"/>
        </w:rPr>
      </w:pPr>
    </w:p>
    <w:p>
      <w:pPr>
        <w:pStyle w:val="2"/>
        <w:ind w:left="0" w:leftChars="0" w:firstLine="0" w:firstLineChars="0"/>
        <w:rPr>
          <w:rFonts w:ascii="仿宋" w:hAnsi="仿宋"/>
          <w:b/>
          <w:bCs/>
          <w:szCs w:val="28"/>
        </w:rPr>
      </w:pPr>
      <w:r>
        <w:rPr>
          <w:rFonts w:hint="eastAsia" w:ascii="仿宋" w:hAnsi="仿宋"/>
          <w:b/>
          <w:bCs/>
          <w:szCs w:val="28"/>
        </w:rPr>
        <w:t>Ⅰ-3-2毕业生签约单位类型分布</w:t>
      </w:r>
      <w:bookmarkStart w:id="3" w:name="_Hlk96635806"/>
    </w:p>
    <w:tbl>
      <w:tblPr>
        <w:tblStyle w:val="9"/>
        <w:tblW w:w="87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659"/>
        <w:gridCol w:w="491"/>
        <w:gridCol w:w="772"/>
        <w:gridCol w:w="695"/>
        <w:gridCol w:w="682"/>
        <w:gridCol w:w="641"/>
        <w:gridCol w:w="695"/>
        <w:gridCol w:w="436"/>
        <w:gridCol w:w="532"/>
        <w:gridCol w:w="450"/>
        <w:gridCol w:w="437"/>
        <w:gridCol w:w="463"/>
        <w:gridCol w:w="478"/>
        <w:gridCol w:w="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3" w:hRule="atLeast"/>
          <w:jc w:val="center"/>
        </w:trPr>
        <w:tc>
          <w:tcPr>
            <w:tcW w:w="938" w:type="dxa"/>
          </w:tcPr>
          <w:p>
            <w:pPr>
              <w:spacing w:before="16" w:line="240" w:lineRule="auto"/>
              <w:ind w:firstLine="0" w:firstLineChars="0"/>
              <w:rPr>
                <w:rFonts w:ascii="仿宋" w:hAnsi="仿宋" w:cs="宋体"/>
                <w:sz w:val="21"/>
              </w:rPr>
            </w:pPr>
          </w:p>
          <w:p>
            <w:pPr>
              <w:spacing w:line="240" w:lineRule="auto"/>
              <w:ind w:left="257" w:right="250" w:firstLine="0" w:firstLineChars="0"/>
              <w:rPr>
                <w:rFonts w:ascii="仿宋" w:hAnsi="仿宋" w:cs="宋体"/>
                <w:sz w:val="21"/>
              </w:rPr>
            </w:pPr>
            <w:r>
              <w:rPr>
                <w:rFonts w:ascii="仿宋" w:hAnsi="仿宋" w:cs="宋体"/>
                <w:sz w:val="21"/>
              </w:rPr>
              <w:t>单位类别</w:t>
            </w:r>
          </w:p>
        </w:tc>
        <w:tc>
          <w:tcPr>
            <w:tcW w:w="659" w:type="dxa"/>
          </w:tcPr>
          <w:p>
            <w:pPr>
              <w:spacing w:before="13" w:line="240" w:lineRule="auto"/>
              <w:ind w:firstLine="0" w:firstLineChars="0"/>
              <w:rPr>
                <w:rFonts w:ascii="仿宋" w:hAnsi="仿宋" w:cs="宋体"/>
                <w:sz w:val="21"/>
              </w:rPr>
            </w:pPr>
          </w:p>
          <w:p>
            <w:pPr>
              <w:spacing w:line="240" w:lineRule="auto"/>
              <w:ind w:left="96" w:right="90" w:firstLine="0" w:firstLineChars="0"/>
              <w:jc w:val="center"/>
              <w:rPr>
                <w:rFonts w:ascii="仿宋" w:hAnsi="仿宋" w:cs="宋体"/>
                <w:sz w:val="21"/>
              </w:rPr>
            </w:pPr>
            <w:r>
              <w:rPr>
                <w:rFonts w:ascii="仿宋" w:hAnsi="仿宋" w:cs="宋体"/>
                <w:sz w:val="21"/>
              </w:rPr>
              <w:t>年度</w:t>
            </w:r>
          </w:p>
        </w:tc>
        <w:tc>
          <w:tcPr>
            <w:tcW w:w="491" w:type="dxa"/>
          </w:tcPr>
          <w:p>
            <w:pPr>
              <w:spacing w:before="30" w:line="240" w:lineRule="auto"/>
              <w:ind w:left="138" w:right="131" w:firstLine="0" w:firstLineChars="0"/>
              <w:rPr>
                <w:rFonts w:ascii="仿宋" w:hAnsi="仿宋" w:cs="宋体"/>
                <w:sz w:val="21"/>
              </w:rPr>
            </w:pPr>
            <w:r>
              <w:rPr>
                <w:rFonts w:ascii="仿宋" w:hAnsi="仿宋" w:cs="宋体"/>
                <w:sz w:val="21"/>
              </w:rPr>
              <w:t>党政机</w:t>
            </w:r>
          </w:p>
          <w:p>
            <w:pPr>
              <w:spacing w:before="12" w:line="240" w:lineRule="auto"/>
              <w:ind w:left="138" w:firstLine="0" w:firstLineChars="0"/>
              <w:rPr>
                <w:rFonts w:ascii="仿宋" w:hAnsi="仿宋" w:cs="宋体"/>
                <w:sz w:val="21"/>
              </w:rPr>
            </w:pPr>
            <w:r>
              <w:rPr>
                <w:rFonts w:ascii="仿宋" w:hAnsi="仿宋" w:cs="宋体"/>
                <w:w w:val="99"/>
                <w:sz w:val="21"/>
              </w:rPr>
              <w:t>关</w:t>
            </w:r>
          </w:p>
        </w:tc>
        <w:tc>
          <w:tcPr>
            <w:tcW w:w="772" w:type="dxa"/>
          </w:tcPr>
          <w:p>
            <w:pPr>
              <w:spacing w:line="240" w:lineRule="auto"/>
              <w:ind w:firstLine="0" w:firstLineChars="0"/>
              <w:rPr>
                <w:rFonts w:ascii="仿宋" w:hAnsi="仿宋" w:cs="宋体"/>
                <w:sz w:val="21"/>
              </w:rPr>
            </w:pPr>
          </w:p>
          <w:p>
            <w:pPr>
              <w:spacing w:line="240" w:lineRule="auto"/>
              <w:ind w:left="175" w:right="166" w:firstLine="0" w:firstLineChars="0"/>
              <w:rPr>
                <w:rFonts w:ascii="仿宋" w:hAnsi="仿宋" w:cs="宋体"/>
                <w:sz w:val="21"/>
              </w:rPr>
            </w:pPr>
            <w:r>
              <w:rPr>
                <w:rFonts w:ascii="仿宋" w:hAnsi="仿宋" w:cs="宋体"/>
                <w:sz w:val="21"/>
              </w:rPr>
              <w:t>高等教育单位</w:t>
            </w:r>
          </w:p>
        </w:tc>
        <w:tc>
          <w:tcPr>
            <w:tcW w:w="695" w:type="dxa"/>
          </w:tcPr>
          <w:p>
            <w:pPr>
              <w:spacing w:before="20" w:line="240" w:lineRule="auto"/>
              <w:ind w:left="135" w:right="129" w:firstLine="0" w:firstLineChars="0"/>
              <w:rPr>
                <w:rFonts w:ascii="仿宋" w:hAnsi="仿宋" w:cs="宋体"/>
                <w:sz w:val="21"/>
              </w:rPr>
            </w:pPr>
            <w:r>
              <w:rPr>
                <w:rFonts w:ascii="仿宋" w:hAnsi="仿宋" w:cs="宋体"/>
                <w:sz w:val="21"/>
              </w:rPr>
              <w:t>中初等教育单</w:t>
            </w:r>
          </w:p>
          <w:p>
            <w:pPr>
              <w:spacing w:before="3" w:line="240" w:lineRule="auto"/>
              <w:ind w:left="7" w:firstLine="0" w:firstLineChars="0"/>
              <w:jc w:val="center"/>
              <w:rPr>
                <w:rFonts w:ascii="仿宋" w:hAnsi="仿宋" w:cs="宋体"/>
                <w:sz w:val="21"/>
              </w:rPr>
            </w:pPr>
            <w:r>
              <w:rPr>
                <w:rFonts w:ascii="仿宋" w:hAnsi="仿宋" w:cs="宋体"/>
                <w:w w:val="99"/>
                <w:sz w:val="21"/>
              </w:rPr>
              <w:t>位</w:t>
            </w:r>
          </w:p>
        </w:tc>
        <w:tc>
          <w:tcPr>
            <w:tcW w:w="682" w:type="dxa"/>
          </w:tcPr>
          <w:p>
            <w:pPr>
              <w:spacing w:before="18" w:line="240" w:lineRule="auto"/>
              <w:ind w:firstLine="0" w:firstLineChars="0"/>
              <w:rPr>
                <w:rFonts w:ascii="仿宋" w:hAnsi="仿宋" w:cs="宋体"/>
                <w:sz w:val="21"/>
              </w:rPr>
            </w:pPr>
          </w:p>
          <w:p>
            <w:pPr>
              <w:spacing w:line="240" w:lineRule="auto"/>
              <w:ind w:left="129" w:right="122" w:firstLine="0" w:firstLineChars="0"/>
              <w:rPr>
                <w:rFonts w:ascii="仿宋" w:hAnsi="仿宋" w:cs="宋体"/>
                <w:sz w:val="21"/>
              </w:rPr>
            </w:pPr>
            <w:r>
              <w:rPr>
                <w:rFonts w:ascii="仿宋" w:hAnsi="仿宋" w:cs="宋体"/>
                <w:sz w:val="21"/>
              </w:rPr>
              <w:t>科研设计单位</w:t>
            </w:r>
          </w:p>
        </w:tc>
        <w:tc>
          <w:tcPr>
            <w:tcW w:w="641" w:type="dxa"/>
          </w:tcPr>
          <w:p>
            <w:pPr>
              <w:spacing w:before="18" w:line="240" w:lineRule="auto"/>
              <w:ind w:firstLine="0" w:firstLineChars="0"/>
              <w:rPr>
                <w:rFonts w:ascii="仿宋" w:hAnsi="仿宋" w:cs="宋体"/>
                <w:sz w:val="21"/>
              </w:rPr>
            </w:pPr>
          </w:p>
          <w:p>
            <w:pPr>
              <w:spacing w:line="240" w:lineRule="auto"/>
              <w:ind w:left="110" w:right="101" w:firstLine="0" w:firstLineChars="0"/>
              <w:rPr>
                <w:rFonts w:ascii="仿宋" w:hAnsi="仿宋" w:cs="宋体"/>
                <w:sz w:val="21"/>
              </w:rPr>
            </w:pPr>
            <w:r>
              <w:rPr>
                <w:rFonts w:ascii="仿宋" w:hAnsi="仿宋" w:cs="宋体"/>
                <w:sz w:val="21"/>
              </w:rPr>
              <w:t>医疗卫生单位</w:t>
            </w:r>
          </w:p>
        </w:tc>
        <w:tc>
          <w:tcPr>
            <w:tcW w:w="695" w:type="dxa"/>
          </w:tcPr>
          <w:p>
            <w:pPr>
              <w:spacing w:before="18" w:line="240" w:lineRule="auto"/>
              <w:ind w:firstLine="0" w:firstLineChars="0"/>
              <w:rPr>
                <w:rFonts w:ascii="仿宋" w:hAnsi="仿宋" w:cs="宋体"/>
                <w:sz w:val="21"/>
              </w:rPr>
            </w:pPr>
          </w:p>
          <w:p>
            <w:pPr>
              <w:spacing w:line="240" w:lineRule="auto"/>
              <w:ind w:left="136" w:right="128" w:firstLine="0" w:firstLineChars="0"/>
              <w:rPr>
                <w:rFonts w:ascii="仿宋" w:hAnsi="仿宋" w:cs="宋体"/>
                <w:sz w:val="21"/>
              </w:rPr>
            </w:pPr>
            <w:r>
              <w:rPr>
                <w:rFonts w:ascii="仿宋" w:hAnsi="仿宋" w:cs="宋体"/>
                <w:sz w:val="21"/>
              </w:rPr>
              <w:t>其他事业单位</w:t>
            </w:r>
          </w:p>
        </w:tc>
        <w:tc>
          <w:tcPr>
            <w:tcW w:w="436" w:type="dxa"/>
          </w:tcPr>
          <w:p>
            <w:pPr>
              <w:spacing w:before="20" w:line="240" w:lineRule="auto"/>
              <w:ind w:left="113" w:right="101" w:firstLine="0" w:firstLineChars="0"/>
              <w:rPr>
                <w:rFonts w:ascii="仿宋" w:hAnsi="仿宋" w:cs="宋体"/>
                <w:sz w:val="21"/>
              </w:rPr>
            </w:pPr>
            <w:r>
              <w:rPr>
                <w:rFonts w:ascii="仿宋" w:hAnsi="仿宋" w:cs="宋体"/>
                <w:sz w:val="21"/>
              </w:rPr>
              <w:t>国有企</w:t>
            </w:r>
          </w:p>
          <w:p>
            <w:pPr>
              <w:spacing w:before="3" w:line="240" w:lineRule="auto"/>
              <w:ind w:left="113" w:firstLine="0" w:firstLineChars="0"/>
              <w:rPr>
                <w:rFonts w:ascii="仿宋" w:hAnsi="仿宋" w:cs="宋体"/>
                <w:sz w:val="21"/>
              </w:rPr>
            </w:pPr>
            <w:r>
              <w:rPr>
                <w:rFonts w:ascii="仿宋" w:hAnsi="仿宋" w:cs="宋体"/>
                <w:w w:val="99"/>
                <w:sz w:val="21"/>
              </w:rPr>
              <w:t>业</w:t>
            </w:r>
          </w:p>
        </w:tc>
        <w:tc>
          <w:tcPr>
            <w:tcW w:w="532" w:type="dxa"/>
          </w:tcPr>
          <w:p>
            <w:pPr>
              <w:spacing w:before="20" w:line="240" w:lineRule="auto"/>
              <w:ind w:left="159" w:right="151" w:firstLine="0" w:firstLineChars="0"/>
              <w:rPr>
                <w:rFonts w:ascii="仿宋" w:hAnsi="仿宋" w:cs="宋体"/>
                <w:sz w:val="21"/>
              </w:rPr>
            </w:pPr>
            <w:r>
              <w:rPr>
                <w:rFonts w:ascii="仿宋" w:hAnsi="仿宋" w:cs="宋体"/>
                <w:sz w:val="21"/>
              </w:rPr>
              <w:t>民营企</w:t>
            </w:r>
          </w:p>
          <w:p>
            <w:pPr>
              <w:spacing w:before="3" w:line="240" w:lineRule="auto"/>
              <w:ind w:left="159" w:firstLine="0" w:firstLineChars="0"/>
              <w:rPr>
                <w:rFonts w:ascii="仿宋" w:hAnsi="仿宋" w:cs="宋体"/>
                <w:sz w:val="21"/>
              </w:rPr>
            </w:pPr>
            <w:r>
              <w:rPr>
                <w:rFonts w:ascii="仿宋" w:hAnsi="仿宋" w:cs="宋体"/>
                <w:w w:val="99"/>
                <w:sz w:val="21"/>
              </w:rPr>
              <w:t>业</w:t>
            </w:r>
          </w:p>
        </w:tc>
        <w:tc>
          <w:tcPr>
            <w:tcW w:w="450" w:type="dxa"/>
          </w:tcPr>
          <w:p>
            <w:pPr>
              <w:spacing w:before="20" w:line="240" w:lineRule="auto"/>
              <w:ind w:left="119" w:right="109" w:firstLine="0" w:firstLineChars="0"/>
              <w:rPr>
                <w:rFonts w:ascii="仿宋" w:hAnsi="仿宋" w:cs="宋体"/>
                <w:sz w:val="21"/>
              </w:rPr>
            </w:pPr>
            <w:r>
              <w:rPr>
                <w:rFonts w:ascii="仿宋" w:hAnsi="仿宋" w:cs="宋体"/>
                <w:sz w:val="21"/>
              </w:rPr>
              <w:t>三资企</w:t>
            </w:r>
          </w:p>
          <w:p>
            <w:pPr>
              <w:spacing w:before="3" w:line="240" w:lineRule="auto"/>
              <w:ind w:left="119" w:firstLine="0" w:firstLineChars="0"/>
              <w:rPr>
                <w:rFonts w:ascii="仿宋" w:hAnsi="仿宋" w:cs="宋体"/>
                <w:sz w:val="21"/>
              </w:rPr>
            </w:pPr>
            <w:r>
              <w:rPr>
                <w:rFonts w:ascii="仿宋" w:hAnsi="仿宋" w:cs="宋体"/>
                <w:w w:val="99"/>
                <w:sz w:val="21"/>
              </w:rPr>
              <w:t>业</w:t>
            </w:r>
          </w:p>
        </w:tc>
        <w:tc>
          <w:tcPr>
            <w:tcW w:w="437" w:type="dxa"/>
          </w:tcPr>
          <w:p>
            <w:pPr>
              <w:spacing w:before="16" w:line="240" w:lineRule="auto"/>
              <w:ind w:firstLine="0" w:firstLineChars="0"/>
              <w:rPr>
                <w:rFonts w:ascii="仿宋" w:hAnsi="仿宋" w:cs="宋体"/>
                <w:sz w:val="21"/>
              </w:rPr>
            </w:pPr>
          </w:p>
          <w:p>
            <w:pPr>
              <w:spacing w:line="240" w:lineRule="auto"/>
              <w:ind w:left="113" w:right="102" w:firstLine="0" w:firstLineChars="0"/>
              <w:rPr>
                <w:rFonts w:ascii="仿宋" w:hAnsi="仿宋" w:cs="宋体"/>
                <w:sz w:val="21"/>
              </w:rPr>
            </w:pPr>
            <w:r>
              <w:rPr>
                <w:rFonts w:ascii="仿宋" w:hAnsi="仿宋" w:cs="宋体"/>
                <w:sz w:val="21"/>
              </w:rPr>
              <w:t>部队</w:t>
            </w:r>
          </w:p>
        </w:tc>
        <w:tc>
          <w:tcPr>
            <w:tcW w:w="463" w:type="dxa"/>
          </w:tcPr>
          <w:p>
            <w:pPr>
              <w:spacing w:before="20" w:line="240" w:lineRule="auto"/>
              <w:ind w:left="125" w:right="116" w:firstLine="0" w:firstLineChars="0"/>
              <w:rPr>
                <w:rFonts w:ascii="仿宋" w:hAnsi="仿宋" w:cs="宋体"/>
                <w:sz w:val="21"/>
              </w:rPr>
            </w:pPr>
            <w:r>
              <w:rPr>
                <w:rFonts w:ascii="仿宋" w:hAnsi="仿宋" w:cs="宋体"/>
                <w:sz w:val="21"/>
              </w:rPr>
              <w:t>自主创</w:t>
            </w:r>
          </w:p>
          <w:p>
            <w:pPr>
              <w:spacing w:before="3" w:line="240" w:lineRule="auto"/>
              <w:ind w:left="125" w:firstLine="0" w:firstLineChars="0"/>
              <w:rPr>
                <w:rFonts w:ascii="仿宋" w:hAnsi="仿宋" w:cs="宋体"/>
                <w:sz w:val="21"/>
              </w:rPr>
            </w:pPr>
            <w:r>
              <w:rPr>
                <w:rFonts w:ascii="仿宋" w:hAnsi="仿宋" w:cs="宋体"/>
                <w:w w:val="99"/>
                <w:sz w:val="21"/>
              </w:rPr>
              <w:t>业</w:t>
            </w:r>
          </w:p>
        </w:tc>
        <w:tc>
          <w:tcPr>
            <w:tcW w:w="478" w:type="dxa"/>
          </w:tcPr>
          <w:p>
            <w:pPr>
              <w:spacing w:before="16" w:line="240" w:lineRule="auto"/>
              <w:ind w:firstLine="0" w:firstLineChars="0"/>
              <w:rPr>
                <w:rFonts w:ascii="仿宋" w:hAnsi="仿宋" w:cs="宋体"/>
                <w:sz w:val="21"/>
              </w:rPr>
            </w:pPr>
          </w:p>
          <w:p>
            <w:pPr>
              <w:spacing w:line="240" w:lineRule="auto"/>
              <w:ind w:left="132" w:right="124" w:firstLine="0" w:firstLineChars="0"/>
              <w:rPr>
                <w:rFonts w:ascii="仿宋" w:hAnsi="仿宋" w:cs="宋体"/>
                <w:sz w:val="21"/>
              </w:rPr>
            </w:pPr>
            <w:r>
              <w:rPr>
                <w:rFonts w:ascii="仿宋" w:hAnsi="仿宋" w:cs="宋体"/>
                <w:sz w:val="21"/>
              </w:rPr>
              <w:t>升学</w:t>
            </w:r>
          </w:p>
        </w:tc>
        <w:tc>
          <w:tcPr>
            <w:tcW w:w="394" w:type="dxa"/>
          </w:tcPr>
          <w:p>
            <w:pPr>
              <w:spacing w:before="16" w:line="240" w:lineRule="auto"/>
              <w:ind w:firstLine="0" w:firstLineChars="0"/>
              <w:rPr>
                <w:rFonts w:ascii="仿宋" w:hAnsi="仿宋" w:cs="宋体"/>
                <w:sz w:val="21"/>
              </w:rPr>
            </w:pPr>
          </w:p>
          <w:p>
            <w:pPr>
              <w:spacing w:line="240" w:lineRule="auto"/>
              <w:ind w:left="108" w:right="64" w:firstLine="0" w:firstLineChars="0"/>
              <w:rPr>
                <w:rFonts w:ascii="仿宋" w:hAnsi="仿宋" w:cs="宋体"/>
                <w:sz w:val="21"/>
              </w:rPr>
            </w:pPr>
            <w:r>
              <w:rPr>
                <w:rFonts w:ascii="仿宋" w:hAnsi="仿宋" w:cs="宋体"/>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jc w:val="center"/>
        </w:trPr>
        <w:tc>
          <w:tcPr>
            <w:tcW w:w="938" w:type="dxa"/>
            <w:tcBorders>
              <w:top w:val="nil"/>
            </w:tcBorders>
          </w:tcPr>
          <w:p>
            <w:pPr>
              <w:spacing w:line="240" w:lineRule="auto"/>
              <w:ind w:firstLine="0" w:firstLineChars="0"/>
              <w:jc w:val="center"/>
              <w:rPr>
                <w:rFonts w:ascii="仿宋" w:hAnsi="仿宋" w:cs="宋体"/>
                <w:sz w:val="21"/>
              </w:rPr>
            </w:pPr>
            <w:r>
              <w:rPr>
                <w:rFonts w:hint="eastAsia" w:ascii="仿宋" w:hAnsi="仿宋" w:cs="宋体"/>
                <w:sz w:val="21"/>
              </w:rPr>
              <w:t>全日制</w:t>
            </w:r>
          </w:p>
          <w:p>
            <w:pPr>
              <w:spacing w:line="240" w:lineRule="auto"/>
              <w:ind w:firstLine="0" w:firstLineChars="0"/>
              <w:jc w:val="center"/>
              <w:rPr>
                <w:rFonts w:ascii="仿宋" w:hAnsi="仿宋"/>
                <w:sz w:val="21"/>
              </w:rPr>
            </w:pPr>
            <w:r>
              <w:rPr>
                <w:rFonts w:hint="eastAsia" w:ascii="仿宋" w:hAnsi="仿宋" w:cs="宋体"/>
                <w:sz w:val="21"/>
              </w:rPr>
              <w:t>硕士</w:t>
            </w:r>
          </w:p>
        </w:tc>
        <w:tc>
          <w:tcPr>
            <w:tcW w:w="659" w:type="dxa"/>
            <w:vAlign w:val="center"/>
          </w:tcPr>
          <w:p>
            <w:pPr>
              <w:spacing w:before="43" w:line="240" w:lineRule="auto"/>
              <w:ind w:left="97" w:right="88" w:firstLine="0" w:firstLineChars="0"/>
              <w:jc w:val="center"/>
              <w:rPr>
                <w:rFonts w:ascii="仿宋" w:hAnsi="仿宋" w:cs="宋体"/>
                <w:sz w:val="21"/>
              </w:rPr>
            </w:pPr>
            <w:r>
              <w:rPr>
                <w:rFonts w:ascii="仿宋" w:hAnsi="仿宋" w:cs="宋体"/>
                <w:sz w:val="21"/>
              </w:rPr>
              <w:t>2021</w:t>
            </w:r>
          </w:p>
        </w:tc>
        <w:tc>
          <w:tcPr>
            <w:tcW w:w="491" w:type="dxa"/>
            <w:vAlign w:val="center"/>
          </w:tcPr>
          <w:p>
            <w:pPr>
              <w:spacing w:line="240" w:lineRule="auto"/>
              <w:ind w:firstLine="0" w:firstLineChars="0"/>
              <w:jc w:val="center"/>
              <w:rPr>
                <w:rFonts w:ascii="仿宋" w:hAnsi="仿宋" w:cs="宋体"/>
                <w:sz w:val="21"/>
              </w:rPr>
            </w:pPr>
            <w:r>
              <w:rPr>
                <w:rFonts w:hint="eastAsia" w:ascii="仿宋" w:hAnsi="仿宋" w:cs="宋体"/>
                <w:sz w:val="21"/>
              </w:rPr>
              <w:t>1</w:t>
            </w:r>
          </w:p>
        </w:tc>
        <w:tc>
          <w:tcPr>
            <w:tcW w:w="772" w:type="dxa"/>
            <w:vAlign w:val="center"/>
          </w:tcPr>
          <w:p>
            <w:pPr>
              <w:spacing w:line="240" w:lineRule="auto"/>
              <w:ind w:firstLine="0" w:firstLineChars="0"/>
              <w:jc w:val="center"/>
              <w:rPr>
                <w:rFonts w:ascii="仿宋" w:hAnsi="仿宋" w:cs="宋体"/>
                <w:sz w:val="21"/>
              </w:rPr>
            </w:pPr>
            <w:r>
              <w:rPr>
                <w:rFonts w:hint="eastAsia" w:ascii="仿宋" w:hAnsi="仿宋" w:cs="宋体"/>
                <w:sz w:val="21"/>
              </w:rPr>
              <w:t>2</w:t>
            </w:r>
          </w:p>
        </w:tc>
        <w:tc>
          <w:tcPr>
            <w:tcW w:w="695" w:type="dxa"/>
            <w:vAlign w:val="center"/>
          </w:tcPr>
          <w:p>
            <w:pPr>
              <w:spacing w:line="240" w:lineRule="auto"/>
              <w:ind w:firstLine="0" w:firstLineChars="0"/>
              <w:jc w:val="center"/>
              <w:rPr>
                <w:rFonts w:ascii="仿宋" w:hAnsi="仿宋" w:cs="宋体"/>
                <w:sz w:val="21"/>
              </w:rPr>
            </w:pPr>
            <w:r>
              <w:rPr>
                <w:rFonts w:hint="eastAsia" w:ascii="仿宋" w:hAnsi="仿宋" w:cs="宋体"/>
                <w:sz w:val="21"/>
              </w:rPr>
              <w:t>0</w:t>
            </w:r>
          </w:p>
        </w:tc>
        <w:tc>
          <w:tcPr>
            <w:tcW w:w="682" w:type="dxa"/>
            <w:vAlign w:val="center"/>
          </w:tcPr>
          <w:p>
            <w:pPr>
              <w:spacing w:line="240" w:lineRule="auto"/>
              <w:ind w:firstLine="0" w:firstLineChars="0"/>
              <w:jc w:val="center"/>
              <w:rPr>
                <w:rFonts w:ascii="仿宋" w:hAnsi="仿宋" w:cs="宋体"/>
                <w:sz w:val="21"/>
              </w:rPr>
            </w:pPr>
            <w:r>
              <w:rPr>
                <w:rFonts w:hint="eastAsia" w:ascii="仿宋" w:hAnsi="仿宋" w:cs="宋体"/>
                <w:sz w:val="21"/>
              </w:rPr>
              <w:t>0</w:t>
            </w:r>
          </w:p>
        </w:tc>
        <w:tc>
          <w:tcPr>
            <w:tcW w:w="641" w:type="dxa"/>
            <w:vAlign w:val="center"/>
          </w:tcPr>
          <w:p>
            <w:pPr>
              <w:spacing w:line="240" w:lineRule="auto"/>
              <w:ind w:firstLine="0" w:firstLineChars="0"/>
              <w:jc w:val="center"/>
              <w:rPr>
                <w:rFonts w:ascii="仿宋" w:hAnsi="仿宋" w:cs="宋体"/>
                <w:sz w:val="21"/>
              </w:rPr>
            </w:pPr>
            <w:r>
              <w:rPr>
                <w:rFonts w:hint="eastAsia" w:ascii="仿宋" w:hAnsi="仿宋" w:cs="宋体"/>
                <w:sz w:val="21"/>
              </w:rPr>
              <w:t>2</w:t>
            </w:r>
          </w:p>
        </w:tc>
        <w:tc>
          <w:tcPr>
            <w:tcW w:w="695" w:type="dxa"/>
            <w:vAlign w:val="center"/>
          </w:tcPr>
          <w:p>
            <w:pPr>
              <w:spacing w:line="240" w:lineRule="auto"/>
              <w:ind w:firstLine="0" w:firstLineChars="0"/>
              <w:jc w:val="center"/>
              <w:rPr>
                <w:rFonts w:ascii="仿宋" w:hAnsi="仿宋" w:cs="宋体"/>
                <w:sz w:val="21"/>
              </w:rPr>
            </w:pPr>
            <w:r>
              <w:rPr>
                <w:rFonts w:hint="eastAsia" w:ascii="仿宋" w:hAnsi="仿宋" w:cs="宋体"/>
                <w:sz w:val="21"/>
              </w:rPr>
              <w:t>3</w:t>
            </w:r>
          </w:p>
        </w:tc>
        <w:tc>
          <w:tcPr>
            <w:tcW w:w="436" w:type="dxa"/>
            <w:vAlign w:val="center"/>
          </w:tcPr>
          <w:p>
            <w:pPr>
              <w:spacing w:line="240" w:lineRule="auto"/>
              <w:ind w:firstLine="0" w:firstLineChars="0"/>
              <w:jc w:val="center"/>
              <w:rPr>
                <w:rFonts w:ascii="仿宋" w:hAnsi="仿宋" w:cs="宋体"/>
                <w:sz w:val="21"/>
              </w:rPr>
            </w:pPr>
            <w:r>
              <w:rPr>
                <w:rFonts w:hint="eastAsia" w:ascii="仿宋" w:hAnsi="仿宋" w:cs="宋体"/>
                <w:sz w:val="21"/>
              </w:rPr>
              <w:t>52</w:t>
            </w:r>
          </w:p>
        </w:tc>
        <w:tc>
          <w:tcPr>
            <w:tcW w:w="532" w:type="dxa"/>
            <w:vAlign w:val="center"/>
          </w:tcPr>
          <w:p>
            <w:pPr>
              <w:spacing w:line="240" w:lineRule="auto"/>
              <w:ind w:firstLine="0" w:firstLineChars="0"/>
              <w:jc w:val="center"/>
              <w:rPr>
                <w:rFonts w:ascii="仿宋" w:hAnsi="仿宋" w:cs="宋体"/>
                <w:sz w:val="21"/>
              </w:rPr>
            </w:pPr>
            <w:r>
              <w:rPr>
                <w:rFonts w:hint="eastAsia" w:ascii="仿宋" w:hAnsi="仿宋" w:cs="宋体"/>
                <w:sz w:val="21"/>
              </w:rPr>
              <w:t>10</w:t>
            </w:r>
          </w:p>
        </w:tc>
        <w:tc>
          <w:tcPr>
            <w:tcW w:w="450" w:type="dxa"/>
            <w:vAlign w:val="center"/>
          </w:tcPr>
          <w:p>
            <w:pPr>
              <w:spacing w:line="240" w:lineRule="auto"/>
              <w:ind w:firstLine="0" w:firstLineChars="0"/>
              <w:jc w:val="center"/>
              <w:rPr>
                <w:rFonts w:ascii="仿宋" w:hAnsi="仿宋" w:cs="宋体"/>
                <w:sz w:val="21"/>
              </w:rPr>
            </w:pPr>
            <w:r>
              <w:rPr>
                <w:rFonts w:hint="eastAsia" w:ascii="仿宋" w:hAnsi="仿宋" w:cs="宋体"/>
                <w:sz w:val="21"/>
              </w:rPr>
              <w:t>0</w:t>
            </w:r>
          </w:p>
        </w:tc>
        <w:tc>
          <w:tcPr>
            <w:tcW w:w="437" w:type="dxa"/>
            <w:vAlign w:val="center"/>
          </w:tcPr>
          <w:p>
            <w:pPr>
              <w:spacing w:line="240" w:lineRule="auto"/>
              <w:ind w:firstLine="0" w:firstLineChars="0"/>
              <w:jc w:val="center"/>
              <w:rPr>
                <w:rFonts w:ascii="仿宋" w:hAnsi="仿宋" w:cs="宋体"/>
                <w:sz w:val="21"/>
              </w:rPr>
            </w:pPr>
            <w:r>
              <w:rPr>
                <w:rFonts w:hint="eastAsia" w:ascii="仿宋" w:hAnsi="仿宋" w:cs="宋体"/>
                <w:sz w:val="21"/>
              </w:rPr>
              <w:t>0</w:t>
            </w:r>
          </w:p>
        </w:tc>
        <w:tc>
          <w:tcPr>
            <w:tcW w:w="463" w:type="dxa"/>
            <w:vAlign w:val="center"/>
          </w:tcPr>
          <w:p>
            <w:pPr>
              <w:spacing w:line="240" w:lineRule="auto"/>
              <w:ind w:firstLine="0" w:firstLineChars="0"/>
              <w:jc w:val="center"/>
              <w:rPr>
                <w:rFonts w:ascii="仿宋" w:hAnsi="仿宋" w:cs="宋体"/>
                <w:sz w:val="21"/>
              </w:rPr>
            </w:pPr>
            <w:r>
              <w:rPr>
                <w:rFonts w:hint="eastAsia" w:ascii="仿宋" w:hAnsi="仿宋" w:cs="宋体"/>
                <w:sz w:val="21"/>
              </w:rPr>
              <w:t>0</w:t>
            </w:r>
          </w:p>
        </w:tc>
        <w:tc>
          <w:tcPr>
            <w:tcW w:w="478" w:type="dxa"/>
            <w:vAlign w:val="center"/>
          </w:tcPr>
          <w:p>
            <w:pPr>
              <w:spacing w:line="240" w:lineRule="auto"/>
              <w:ind w:firstLine="0" w:firstLineChars="0"/>
              <w:jc w:val="center"/>
              <w:rPr>
                <w:rFonts w:ascii="仿宋" w:hAnsi="仿宋" w:cs="宋体"/>
                <w:sz w:val="21"/>
              </w:rPr>
            </w:pPr>
            <w:r>
              <w:rPr>
                <w:rFonts w:hint="eastAsia" w:ascii="仿宋" w:hAnsi="仿宋" w:cs="宋体"/>
                <w:sz w:val="21"/>
              </w:rPr>
              <w:t>1</w:t>
            </w:r>
          </w:p>
        </w:tc>
        <w:tc>
          <w:tcPr>
            <w:tcW w:w="394" w:type="dxa"/>
            <w:vAlign w:val="center"/>
          </w:tcPr>
          <w:p>
            <w:pPr>
              <w:spacing w:line="240" w:lineRule="auto"/>
              <w:ind w:firstLine="0" w:firstLineChars="0"/>
              <w:jc w:val="center"/>
              <w:rPr>
                <w:rFonts w:ascii="仿宋" w:hAnsi="仿宋" w:cs="宋体"/>
                <w:sz w:val="21"/>
              </w:rPr>
            </w:pPr>
            <w:r>
              <w:rPr>
                <w:rFonts w:hint="eastAsia" w:ascii="仿宋" w:hAnsi="仿宋" w:cs="宋体"/>
                <w:sz w:val="21"/>
              </w:rPr>
              <w:t>43</w:t>
            </w:r>
          </w:p>
        </w:tc>
      </w:tr>
    </w:tbl>
    <w:p>
      <w:pPr>
        <w:pStyle w:val="2"/>
        <w:ind w:left="0" w:leftChars="0" w:firstLine="0" w:firstLineChars="0"/>
        <w:rPr>
          <w:rFonts w:ascii="仿宋_GB2312" w:eastAsia="仿宋_GB2312"/>
          <w:b/>
          <w:bCs/>
          <w:sz w:val="32"/>
          <w:szCs w:val="32"/>
        </w:rPr>
      </w:pPr>
    </w:p>
    <w:p>
      <w:pPr>
        <w:ind w:firstLine="0" w:firstLineChars="0"/>
        <w:rPr>
          <w:rStyle w:val="17"/>
          <w:rFonts w:ascii="宋体" w:hAnsi="宋体" w:eastAsia="宋体"/>
        </w:rPr>
      </w:pPr>
      <w:r>
        <w:rPr>
          <w:rStyle w:val="17"/>
          <w:rFonts w:hint="eastAsia" w:ascii="宋体" w:hAnsi="宋体" w:eastAsia="宋体"/>
        </w:rPr>
        <w:t>Ⅰ-4</w:t>
      </w:r>
      <w:r>
        <w:rPr>
          <w:rStyle w:val="17"/>
          <w:rFonts w:ascii="宋体" w:hAnsi="宋体" w:eastAsia="宋体"/>
        </w:rPr>
        <w:t xml:space="preserve"> </w:t>
      </w:r>
      <w:r>
        <w:rPr>
          <w:rStyle w:val="17"/>
          <w:rFonts w:hint="eastAsia" w:ascii="宋体" w:hAnsi="宋体" w:eastAsia="宋体"/>
        </w:rPr>
        <w:t>研究生导师状况</w:t>
      </w:r>
    </w:p>
    <w:p>
      <w:pPr>
        <w:pStyle w:val="2"/>
        <w:ind w:left="0" w:leftChars="0" w:firstLine="560"/>
        <w:rPr>
          <w:rFonts w:ascii="仿宋" w:hAnsi="仿宋" w:cs="仿宋_GB2312"/>
          <w:szCs w:val="28"/>
        </w:rPr>
      </w:pPr>
      <w:r>
        <w:rPr>
          <w:rFonts w:hint="eastAsia" w:ascii="仿宋" w:hAnsi="仿宋" w:cs="仿宋_GB2312"/>
          <w:szCs w:val="28"/>
        </w:rPr>
        <w:t>本学位点现有导师29名，其中，博士研究生导师4名。导师队伍中，正高职称</w:t>
      </w:r>
      <w:r>
        <w:rPr>
          <w:rFonts w:ascii="仿宋" w:hAnsi="仿宋" w:cs="仿宋_GB2312"/>
          <w:szCs w:val="28"/>
        </w:rPr>
        <w:t>13</w:t>
      </w:r>
      <w:r>
        <w:rPr>
          <w:rFonts w:hint="eastAsia" w:ascii="仿宋" w:hAnsi="仿宋" w:cs="仿宋_GB2312"/>
          <w:szCs w:val="28"/>
        </w:rPr>
        <w:t>人，副高职称</w:t>
      </w:r>
      <w:r>
        <w:rPr>
          <w:rFonts w:ascii="仿宋" w:hAnsi="仿宋" w:cs="仿宋_GB2312"/>
          <w:szCs w:val="28"/>
        </w:rPr>
        <w:t>14</w:t>
      </w:r>
      <w:r>
        <w:rPr>
          <w:rFonts w:hint="eastAsia" w:ascii="仿宋" w:hAnsi="仿宋" w:cs="仿宋_GB2312"/>
          <w:szCs w:val="28"/>
        </w:rPr>
        <w:t>人，博士</w:t>
      </w:r>
      <w:r>
        <w:rPr>
          <w:rFonts w:ascii="仿宋" w:hAnsi="仿宋" w:cs="仿宋_GB2312"/>
          <w:szCs w:val="28"/>
        </w:rPr>
        <w:t>23</w:t>
      </w:r>
      <w:r>
        <w:rPr>
          <w:rFonts w:hint="eastAsia" w:ascii="仿宋" w:hAnsi="仿宋" w:cs="仿宋_GB2312"/>
          <w:szCs w:val="28"/>
        </w:rPr>
        <w:t>人。</w:t>
      </w:r>
      <w:bookmarkEnd w:id="3"/>
      <w:r>
        <w:rPr>
          <w:rFonts w:hint="eastAsia" w:ascii="仿宋" w:hAnsi="仿宋" w:cs="仿宋_GB2312"/>
          <w:szCs w:val="28"/>
        </w:rPr>
        <w:t>研究生导师状况信息具体如下：</w:t>
      </w:r>
    </w:p>
    <w:tbl>
      <w:tblPr>
        <w:tblStyle w:val="9"/>
        <w:tblW w:w="8521" w:type="dxa"/>
        <w:jc w:val="center"/>
        <w:tblInd w:w="0" w:type="dxa"/>
        <w:tblLayout w:type="fixed"/>
        <w:tblCellMar>
          <w:top w:w="0" w:type="dxa"/>
          <w:left w:w="0" w:type="dxa"/>
          <w:bottom w:w="0" w:type="dxa"/>
          <w:right w:w="0" w:type="dxa"/>
        </w:tblCellMar>
      </w:tblPr>
      <w:tblGrid>
        <w:gridCol w:w="688"/>
        <w:gridCol w:w="1027"/>
        <w:gridCol w:w="631"/>
        <w:gridCol w:w="648"/>
        <w:gridCol w:w="915"/>
        <w:gridCol w:w="705"/>
        <w:gridCol w:w="1005"/>
        <w:gridCol w:w="2902"/>
      </w:tblGrid>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sz w:val="21"/>
              </w:rPr>
            </w:pPr>
            <w:r>
              <w:rPr>
                <w:rFonts w:hint="eastAsia" w:ascii="仿宋" w:hAnsi="仿宋" w:cs="仿宋"/>
                <w:b/>
                <w:color w:val="000000"/>
                <w:kern w:val="0"/>
                <w:sz w:val="21"/>
                <w:lang w:bidi="ar"/>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sz w:val="21"/>
              </w:rPr>
            </w:pPr>
            <w:r>
              <w:rPr>
                <w:rFonts w:hint="eastAsia" w:ascii="仿宋" w:hAnsi="仿宋" w:cs="仿宋"/>
                <w:b/>
                <w:color w:val="000000"/>
                <w:kern w:val="0"/>
                <w:sz w:val="21"/>
                <w:lang w:bidi="ar"/>
              </w:rPr>
              <w:t>姓名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sz w:val="21"/>
              </w:rPr>
            </w:pPr>
            <w:r>
              <w:rPr>
                <w:rFonts w:hint="eastAsia" w:ascii="仿宋" w:hAnsi="仿宋" w:cs="仿宋"/>
                <w:b/>
                <w:color w:val="000000"/>
                <w:kern w:val="0"/>
                <w:sz w:val="21"/>
                <w:lang w:bidi="ar"/>
              </w:rPr>
              <w:t>性别</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sz w:val="21"/>
              </w:rPr>
            </w:pPr>
            <w:r>
              <w:rPr>
                <w:rFonts w:hint="eastAsia" w:ascii="仿宋" w:hAnsi="仿宋" w:cs="仿宋"/>
                <w:b/>
                <w:color w:val="000000"/>
                <w:kern w:val="0"/>
                <w:sz w:val="21"/>
                <w:lang w:bidi="ar"/>
              </w:rPr>
              <w:t>民族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sz w:val="21"/>
              </w:rPr>
            </w:pPr>
            <w:r>
              <w:rPr>
                <w:rFonts w:hint="eastAsia" w:ascii="仿宋" w:hAnsi="仿宋" w:cs="仿宋"/>
                <w:b/>
                <w:color w:val="000000"/>
                <w:kern w:val="0"/>
                <w:sz w:val="21"/>
                <w:lang w:bidi="ar"/>
              </w:rPr>
              <w:t>申报导师类别</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sz w:val="21"/>
              </w:rPr>
            </w:pPr>
            <w:r>
              <w:rPr>
                <w:rFonts w:hint="eastAsia" w:ascii="仿宋" w:hAnsi="仿宋" w:cs="仿宋"/>
                <w:b/>
                <w:color w:val="000000"/>
                <w:kern w:val="0"/>
                <w:sz w:val="21"/>
                <w:lang w:bidi="ar"/>
              </w:rPr>
              <w:t>最高学位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sz w:val="21"/>
              </w:rPr>
            </w:pPr>
            <w:r>
              <w:rPr>
                <w:rFonts w:hint="eastAsia" w:ascii="仿宋" w:hAnsi="仿宋" w:cs="仿宋"/>
                <w:b/>
                <w:color w:val="000000"/>
                <w:kern w:val="0"/>
                <w:sz w:val="21"/>
                <w:lang w:bidi="ar"/>
              </w:rPr>
              <w:t>职称</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b/>
                <w:color w:val="000000"/>
                <w:kern w:val="0"/>
                <w:sz w:val="21"/>
                <w:lang w:bidi="ar"/>
              </w:rPr>
            </w:pPr>
            <w:r>
              <w:rPr>
                <w:rFonts w:hint="eastAsia" w:ascii="仿宋" w:hAnsi="仿宋" w:cs="仿宋"/>
                <w:b/>
                <w:color w:val="000000"/>
                <w:kern w:val="0"/>
                <w:sz w:val="21"/>
                <w:lang w:bidi="ar"/>
              </w:rPr>
              <w:t>研究方向</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姜锡明</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韩金红</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姚文英</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胡本源</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李刚</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汤琦瑾</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陈维青</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高严</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姚曦</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冯莉</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回族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王秀丽</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阿布都合力力·阿布拉</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维吾尔族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梁娟</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助教</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孙文娟</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刘静</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孙杰</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王海燕</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龚巧莉</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朱晓</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迈扎尼</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哈萨克族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高级实验师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田斌</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讲师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李薇</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苏玲</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黄俊荣</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陈继萍</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非营利组织财务会计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杨立芳</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硕士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内部控制与审计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27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王艳丽</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非营利组织财务与会计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28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吴荷青</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副教授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公司财务与会计</w:t>
            </w:r>
          </w:p>
        </w:tc>
      </w:tr>
      <w:tr>
        <w:tblPrEx>
          <w:tblLayout w:type="fixed"/>
          <w:tblCellMar>
            <w:top w:w="0" w:type="dxa"/>
            <w:left w:w="0" w:type="dxa"/>
            <w:bottom w:w="0" w:type="dxa"/>
            <w:right w:w="0"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29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李育红</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汉族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硕导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博士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高级实验师</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cs="仿宋"/>
                <w:color w:val="000000"/>
                <w:kern w:val="0"/>
                <w:sz w:val="21"/>
                <w:lang w:bidi="ar"/>
              </w:rPr>
            </w:pPr>
            <w:r>
              <w:rPr>
                <w:rFonts w:hint="eastAsia" w:ascii="仿宋" w:hAnsi="仿宋" w:cs="仿宋"/>
                <w:color w:val="000000"/>
                <w:kern w:val="0"/>
                <w:sz w:val="21"/>
                <w:lang w:bidi="ar"/>
              </w:rPr>
              <w:t>内部控制与审计</w:t>
            </w:r>
          </w:p>
        </w:tc>
      </w:tr>
    </w:tbl>
    <w:p>
      <w:pPr>
        <w:pStyle w:val="2"/>
        <w:ind w:left="0" w:leftChars="0" w:firstLine="560"/>
        <w:rPr>
          <w:rFonts w:ascii="仿宋" w:hAnsi="仿宋" w:cs="仿宋_GB2312"/>
          <w:szCs w:val="28"/>
        </w:rPr>
      </w:pPr>
    </w:p>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autoSpaceDE w:val="0"/>
        <w:ind w:firstLine="640"/>
        <w:jc w:val="center"/>
        <w:rPr>
          <w:rFonts w:ascii="黑体" w:hAnsi="黑体" w:eastAsia="黑体"/>
          <w:sz w:val="32"/>
          <w:szCs w:val="32"/>
        </w:rPr>
      </w:pPr>
      <w:r>
        <w:rPr>
          <w:rFonts w:hint="eastAsia" w:ascii="黑体" w:hAnsi="黑体" w:eastAsia="黑体"/>
          <w:sz w:val="32"/>
          <w:szCs w:val="32"/>
        </w:rPr>
        <w:t>Ⅱ 研究生党建与思想政治教育工作</w:t>
      </w:r>
    </w:p>
    <w:p>
      <w:pPr>
        <w:autoSpaceDE w:val="0"/>
        <w:ind w:firstLine="560"/>
        <w:jc w:val="left"/>
        <w:rPr>
          <w:rFonts w:ascii="仿宋" w:hAnsi="仿宋"/>
          <w:szCs w:val="28"/>
        </w:rPr>
      </w:pPr>
      <w:r>
        <w:rPr>
          <w:rFonts w:hint="eastAsia" w:ascii="仿宋" w:hAnsi="仿宋"/>
          <w:color w:val="FF0000"/>
          <w:szCs w:val="28"/>
        </w:rPr>
        <w:t>思想政治教育队伍建设，理想信念和社会主义核心价值观教育，校园文化建设，日常管理服务工作。</w:t>
      </w:r>
    </w:p>
    <w:p>
      <w:pPr>
        <w:ind w:firstLine="560"/>
        <w:rPr>
          <w:rFonts w:ascii="仿宋" w:hAnsi="仿宋"/>
          <w:szCs w:val="28"/>
        </w:rPr>
      </w:pPr>
      <w:r>
        <w:rPr>
          <w:rFonts w:hint="eastAsia" w:ascii="仿宋" w:hAnsi="仿宋"/>
          <w:szCs w:val="28"/>
        </w:rPr>
        <w:t>始终以习近平新时代中国特色社会主义思想和中央新疆工作会议精神为指导，牢牢扭住新疆社会稳定和长治久安总目标，坚持社会主义办学方向，践行 “聚焦总目标、建设强财经”发展目标，把立德树人作为中心环节，把思想政治教育工作贯穿于专业教学全过程，进一步铸牢中华民族共同体意识，着力培养具有创新思维、先进管理理念的高素质边疆青年人才。</w:t>
      </w:r>
    </w:p>
    <w:p>
      <w:pPr>
        <w:ind w:firstLine="0" w:firstLineChars="0"/>
        <w:rPr>
          <w:rStyle w:val="17"/>
          <w:rFonts w:ascii="宋体" w:hAnsi="宋体" w:eastAsia="宋体"/>
        </w:rPr>
      </w:pPr>
      <w:r>
        <w:rPr>
          <w:rStyle w:val="17"/>
          <w:rFonts w:hint="eastAsia" w:ascii="宋体" w:hAnsi="宋体" w:eastAsia="宋体"/>
        </w:rPr>
        <w:t>Ⅱ-1</w:t>
      </w:r>
      <w:r>
        <w:rPr>
          <w:rStyle w:val="17"/>
          <w:rFonts w:ascii="宋体" w:hAnsi="宋体" w:eastAsia="宋体"/>
        </w:rPr>
        <w:t xml:space="preserve"> </w:t>
      </w:r>
      <w:r>
        <w:rPr>
          <w:rStyle w:val="17"/>
          <w:rFonts w:hint="eastAsia" w:ascii="宋体" w:hAnsi="宋体" w:eastAsia="宋体"/>
        </w:rPr>
        <w:t>思想政治教育队伍建设</w:t>
      </w:r>
    </w:p>
    <w:p>
      <w:pPr>
        <w:ind w:firstLine="562"/>
        <w:rPr>
          <w:rFonts w:ascii="仿宋" w:hAnsi="仿宋"/>
          <w:szCs w:val="28"/>
        </w:rPr>
      </w:pPr>
      <w:r>
        <w:rPr>
          <w:rFonts w:hint="eastAsia" w:ascii="仿宋" w:hAnsi="仿宋"/>
          <w:b/>
          <w:bCs/>
          <w:szCs w:val="28"/>
        </w:rPr>
        <w:t>一是</w:t>
      </w:r>
      <w:r>
        <w:rPr>
          <w:rFonts w:hint="eastAsia" w:ascii="仿宋" w:hAnsi="仿宋"/>
          <w:szCs w:val="28"/>
        </w:rPr>
        <w:t>优化基层党组织设置。率先在全校成立了研究生党总支，进一步压实学院党委领导班子“一岗双责”，推动党建育人的实效性。进一步优化整合基层党组织，将会计专硕党支部归口会计系，创造性建立教师党支部和学生党支部联动共建机制。</w:t>
      </w:r>
      <w:r>
        <w:rPr>
          <w:rFonts w:hint="eastAsia" w:ascii="仿宋" w:hAnsi="仿宋"/>
          <w:b/>
          <w:bCs/>
          <w:szCs w:val="28"/>
        </w:rPr>
        <w:t>二是</w:t>
      </w:r>
      <w:r>
        <w:rPr>
          <w:rFonts w:hint="eastAsia" w:ascii="仿宋" w:hAnsi="仿宋"/>
          <w:szCs w:val="28"/>
        </w:rPr>
        <w:t>建设业务水平高、全面发展的思政教育队伍，会计各班级均配备具有博士学位的教师担任班主任，建立导师、班主任、辅导员三位一体的思政协同育人新模式。目前，会计专硕共配备专职辅导员2人、班主任7人。</w:t>
      </w:r>
    </w:p>
    <w:p>
      <w:pPr>
        <w:ind w:firstLine="0" w:firstLineChars="0"/>
        <w:rPr>
          <w:rStyle w:val="17"/>
          <w:rFonts w:ascii="宋体" w:hAnsi="宋体" w:eastAsia="宋体"/>
        </w:rPr>
      </w:pPr>
      <w:r>
        <w:rPr>
          <w:rStyle w:val="17"/>
          <w:rFonts w:hint="eastAsia" w:ascii="宋体" w:hAnsi="宋体" w:eastAsia="宋体"/>
        </w:rPr>
        <w:t>Ⅱ-2</w:t>
      </w:r>
      <w:r>
        <w:rPr>
          <w:rStyle w:val="17"/>
          <w:rFonts w:ascii="宋体" w:hAnsi="宋体" w:eastAsia="宋体"/>
        </w:rPr>
        <w:t xml:space="preserve"> </w:t>
      </w:r>
      <w:r>
        <w:rPr>
          <w:rStyle w:val="17"/>
          <w:rFonts w:hint="eastAsia" w:ascii="宋体" w:hAnsi="宋体" w:eastAsia="宋体"/>
        </w:rPr>
        <w:t>理想信念和社会主义核心价值观教育</w:t>
      </w:r>
    </w:p>
    <w:p>
      <w:pPr>
        <w:autoSpaceDE w:val="0"/>
        <w:ind w:firstLine="562"/>
        <w:rPr>
          <w:rFonts w:ascii="仿宋" w:hAnsi="仿宋"/>
          <w:szCs w:val="28"/>
        </w:rPr>
      </w:pPr>
      <w:r>
        <w:rPr>
          <w:rFonts w:hint="eastAsia" w:ascii="仿宋" w:hAnsi="仿宋"/>
          <w:b/>
          <w:bCs/>
          <w:szCs w:val="28"/>
        </w:rPr>
        <w:t>1、以安全稳定为底线。</w:t>
      </w:r>
      <w:r>
        <w:rPr>
          <w:rFonts w:hint="eastAsia" w:ascii="仿宋" w:hAnsi="仿宋"/>
          <w:szCs w:val="28"/>
        </w:rPr>
        <w:t>一是签订</w:t>
      </w:r>
      <w:r>
        <w:rPr>
          <w:rFonts w:hint="eastAsia" w:ascii="仿宋" w:hAnsi="仿宋"/>
          <w:szCs w:val="28"/>
          <w:lang w:eastAsia="zh-CN"/>
        </w:rPr>
        <w:t>安全</w:t>
      </w:r>
      <w:r>
        <w:rPr>
          <w:rFonts w:hint="eastAsia" w:ascii="仿宋" w:hAnsi="仿宋"/>
          <w:szCs w:val="28"/>
        </w:rPr>
        <w:t>责任书87份，加强意识形态工作，落实12个维稳常态化机制，政治审读研究生教辅材料12门，强化对课堂阵地、网络阵地的监督管理，意识形态工作落到实处。二是夯实思想基础，提升全员安全意识。研究生班主任坚持每周召开班会，利用班会时间积极开展安全法制、心理健康、防范电信诈骗宣传教育。通过举办消防安全讲座等，增强学生的安全防范意识。三是做好隔离学生关爱工作。通过宿舍走访、慰问等方式做好疫情期间隔离学生关心关爱工作。多措并举，全力确保“三不出”。</w:t>
      </w:r>
    </w:p>
    <w:p>
      <w:pPr>
        <w:widowControl/>
        <w:ind w:firstLine="562"/>
        <w:jc w:val="left"/>
        <w:rPr>
          <w:rFonts w:ascii="仿宋" w:hAnsi="仿宋"/>
          <w:szCs w:val="28"/>
        </w:rPr>
      </w:pPr>
      <w:r>
        <w:rPr>
          <w:rFonts w:hint="eastAsia" w:ascii="仿宋" w:hAnsi="仿宋"/>
          <w:b/>
          <w:bCs/>
          <w:szCs w:val="28"/>
        </w:rPr>
        <w:t>2、以理想信念为核心。</w:t>
      </w:r>
      <w:r>
        <w:rPr>
          <w:rFonts w:hint="eastAsia" w:ascii="仿宋" w:hAnsi="仿宋"/>
          <w:szCs w:val="28"/>
        </w:rPr>
        <w:t>坚持党建统领全局，把思想建设放在首位，进一步坚定理想信念。一是做好学生党支部书记、发展对象、入党积极分子培训。二是以党史学习教育为契机，组织开展艺术党课、微党课大赛等系列特色主题党日活动，组织参观毛泽民故居、红军师、将军纪念馆和新兵营等红色教育基地升华师生政治信仰，党支部的组织力和凝聚力明显增强。三是在“五·四”运动、“一二·九”等重要节点，引导研究生学习习近平新时代中国特色社会主义思想。通过主题班会等讲好抗疫故事，弘扬伟大抗疫精神。通过课程思政、“三进两联一交友”、“五育宿舍”等载体，进一步铸牢中华民族共同体意识。四是2021年会计专硕4个党支部共发展党员15人，转正党员4人，新培养入党积极分子19人，举办党课培训4次，共计136人次。</w:t>
      </w:r>
    </w:p>
    <w:p>
      <w:pPr>
        <w:ind w:firstLine="562"/>
        <w:rPr>
          <w:rFonts w:ascii="仿宋" w:hAnsi="仿宋"/>
          <w:szCs w:val="28"/>
        </w:rPr>
      </w:pPr>
      <w:r>
        <w:rPr>
          <w:rFonts w:hint="eastAsia" w:ascii="仿宋" w:hAnsi="仿宋"/>
          <w:b/>
          <w:bCs/>
          <w:szCs w:val="28"/>
        </w:rPr>
        <w:t>3、以党史学习教育为重点。</w:t>
      </w:r>
      <w:r>
        <w:rPr>
          <w:rFonts w:hint="eastAsia" w:ascii="仿宋" w:hAnsi="仿宋"/>
          <w:szCs w:val="28"/>
        </w:rPr>
        <w:t>一是通过交流研讨、撰写心得体会等方式，教育师生深化对习近平新时代中国特色社会主义思想和百年党史的认识理解，不断增强“四个意识”、坚定“四个自信”、做到“两个维护”。二是会计专硕4个党支部学院扎实开展专题组织生活会。39名党员开展批评与自我批评，剖析思想根源，明确整改措施，组织生活会严肃认真，得到学院党委好评。</w:t>
      </w:r>
    </w:p>
    <w:p>
      <w:pPr>
        <w:ind w:firstLine="562"/>
        <w:rPr>
          <w:rFonts w:ascii="仿宋" w:hAnsi="仿宋"/>
          <w:szCs w:val="28"/>
        </w:rPr>
      </w:pPr>
      <w:r>
        <w:rPr>
          <w:rFonts w:hint="eastAsia" w:ascii="仿宋" w:hAnsi="仿宋"/>
          <w:b/>
          <w:bCs/>
          <w:szCs w:val="28"/>
        </w:rPr>
        <w:t>4、以服务社会为己任。</w:t>
      </w:r>
      <w:r>
        <w:rPr>
          <w:rFonts w:hint="eastAsia" w:ascii="仿宋" w:hAnsi="仿宋"/>
          <w:szCs w:val="28"/>
        </w:rPr>
        <w:t>利用学生寒假返乡安全教育的契机，召开专题会议，动员会计专硕党支部全体党员积极开展“双报到”活动，为社区居民服务，深入开展志愿者活动。</w:t>
      </w:r>
    </w:p>
    <w:p>
      <w:pPr>
        <w:ind w:firstLine="562"/>
        <w:rPr>
          <w:rFonts w:ascii="仿宋" w:hAnsi="仿宋"/>
          <w:szCs w:val="28"/>
        </w:rPr>
      </w:pPr>
      <w:r>
        <w:rPr>
          <w:rFonts w:hint="eastAsia" w:ascii="仿宋" w:hAnsi="仿宋"/>
          <w:b/>
          <w:bCs/>
          <w:szCs w:val="28"/>
        </w:rPr>
        <w:t>5、以立德树人为目标。</w:t>
      </w:r>
      <w:r>
        <w:rPr>
          <w:rFonts w:hint="eastAsia" w:ascii="仿宋" w:hAnsi="仿宋"/>
          <w:szCs w:val="28"/>
        </w:rPr>
        <w:t>一是对会计专硕研究生培养方案进行了修订和完善。二是对标“新文科”建设要求，优化专业发展方向。三是推进产教融合协同育人，2个自治区级产学研联合培养研究生示范基地通过验收，新建3个实习实践基地。四是依托对口援疆优势，邀请上海财经大学、上海交通大学、武汉大学等对口援疆高校知名专家学者开展线上学术讲座，邀请全国高端会计人才交流团、山东财经大学会计学院到我校进行交流，邀请校内导师就学术热点、科研诚信等开展讲座，全年共开展学术讲座19场。</w:t>
      </w:r>
    </w:p>
    <w:p>
      <w:pPr>
        <w:ind w:firstLine="0" w:firstLineChars="0"/>
        <w:rPr>
          <w:rStyle w:val="17"/>
          <w:rFonts w:ascii="宋体" w:hAnsi="宋体" w:eastAsia="宋体"/>
        </w:rPr>
      </w:pPr>
      <w:r>
        <w:rPr>
          <w:rStyle w:val="17"/>
          <w:rFonts w:hint="eastAsia" w:ascii="宋体" w:hAnsi="宋体" w:eastAsia="宋体"/>
        </w:rPr>
        <w:t>Ⅱ-3</w:t>
      </w:r>
      <w:r>
        <w:rPr>
          <w:rStyle w:val="17"/>
          <w:rFonts w:ascii="宋体" w:hAnsi="宋体" w:eastAsia="宋体"/>
        </w:rPr>
        <w:t xml:space="preserve"> </w:t>
      </w:r>
      <w:r>
        <w:rPr>
          <w:rStyle w:val="17"/>
          <w:rFonts w:hint="eastAsia" w:ascii="宋体" w:hAnsi="宋体" w:eastAsia="宋体"/>
        </w:rPr>
        <w:t>日常管理服务工作</w:t>
      </w:r>
    </w:p>
    <w:p>
      <w:pPr>
        <w:ind w:firstLine="560"/>
        <w:rPr>
          <w:rFonts w:ascii="仿宋" w:hAnsi="仿宋"/>
          <w:szCs w:val="28"/>
        </w:rPr>
      </w:pPr>
      <w:r>
        <w:rPr>
          <w:rFonts w:hint="eastAsia" w:ascii="仿宋" w:hAnsi="仿宋"/>
          <w:szCs w:val="28"/>
        </w:rPr>
        <w:t>一是全面落实立德树人根本任务，积极探索“54321”育人新模式，即持续创建“五育宿舍”、扎实开展“四讲”活动、认真落实“三全育人”和“三进两联一交友”工作、用心讲好“两课”（党课和团课），开展经典诵读活动。扎实开展集中教育、专题讲座、党团日活动40余次。二是积极探索建立了党支部“六化”机制，即“三会一课”规范化、主题党日特色化、“双带头人”创建深入化、党员发展标准化、谈心谈话经常化、组织生活会常态化。进一步规范师生党员的日常教育与管理。三是严把常态化疫情防控背景下请销假制度，摸清在校、离校、返校学生底数，做到底数清、情况明；严格落实校园封闭管理工作要求，做好师生每日签到及体温测温工作，及时掌握师生动向及健康情况。全面落实师生核酸检测工作，师生核酸检测100%全覆盖；严守三大阵地，定期开展宿舍、自习室、实验室卫生检查、安全检查，保障学习生活安全稳定；严把诈骗与校园贷，</w:t>
      </w:r>
      <w:r>
        <w:rPr>
          <w:rFonts w:ascii="仿宋" w:hAnsi="仿宋"/>
          <w:szCs w:val="28"/>
        </w:rPr>
        <w:t>严防诈骗与校园贷，多途径、多形式宣传教育，提高学生反骗防骗意识和能力。及时了解学生状态、及时帮扶学生需求、及时处理学生事务，为学生提供学习生活指导。</w:t>
      </w:r>
      <w:r>
        <w:rPr>
          <w:rFonts w:hint="eastAsia" w:ascii="仿宋" w:hAnsi="仿宋"/>
          <w:szCs w:val="28"/>
        </w:rPr>
        <w:t>四是做好研究生推免、入学等工作。完成216名专硕研究生入学复试、181名新生入学、117名研究生毕业答辩。</w:t>
      </w:r>
    </w:p>
    <w:p>
      <w:pPr>
        <w:ind w:firstLine="0" w:firstLineChars="0"/>
        <w:rPr>
          <w:rStyle w:val="17"/>
          <w:rFonts w:ascii="宋体" w:hAnsi="宋体" w:eastAsia="宋体"/>
          <w:lang w:val="en-US"/>
        </w:rPr>
      </w:pPr>
      <w:r>
        <w:rPr>
          <w:rStyle w:val="17"/>
          <w:rFonts w:hint="eastAsia" w:ascii="宋体" w:hAnsi="宋体" w:eastAsia="宋体"/>
          <w:lang w:val="en-US"/>
        </w:rPr>
        <w:t>Ⅱ-4</w:t>
      </w:r>
      <w:r>
        <w:rPr>
          <w:rStyle w:val="17"/>
          <w:rFonts w:ascii="宋体" w:hAnsi="宋体" w:eastAsia="宋体"/>
          <w:lang w:val="en-US"/>
        </w:rPr>
        <w:t xml:space="preserve"> </w:t>
      </w:r>
      <w:r>
        <w:rPr>
          <w:rStyle w:val="17"/>
          <w:rFonts w:hint="eastAsia" w:ascii="宋体" w:hAnsi="宋体" w:eastAsia="宋体"/>
        </w:rPr>
        <w:t>研究生党建与思想政治教育主要成效</w:t>
      </w:r>
    </w:p>
    <w:p>
      <w:pPr>
        <w:widowControl/>
        <w:ind w:firstLine="562"/>
        <w:jc w:val="left"/>
        <w:rPr>
          <w:rFonts w:ascii="仿宋" w:hAnsi="仿宋"/>
          <w:szCs w:val="28"/>
        </w:rPr>
      </w:pPr>
      <w:r>
        <w:rPr>
          <w:rFonts w:hint="eastAsia" w:ascii="仿宋" w:hAnsi="仿宋"/>
          <w:b/>
          <w:bCs/>
          <w:szCs w:val="28"/>
        </w:rPr>
        <w:t>1、党建引领作用彰显。</w:t>
      </w:r>
      <w:r>
        <w:rPr>
          <w:rFonts w:hint="eastAsia" w:ascii="仿宋" w:hAnsi="仿宋"/>
          <w:szCs w:val="28"/>
        </w:rPr>
        <w:t>率先成立研究生党总支，科学设置和调整党支部，将支部设置与学生专业特色、生涯规划、就业方向紧密结合，通过支部全面带动研究生专业及职业发展。支持党支部充分发挥学科特色和专业优势建设支部品牌活动。目前会计专硕研究生党支部正全力申报校级星级党支部。</w:t>
      </w:r>
    </w:p>
    <w:p>
      <w:pPr>
        <w:autoSpaceDE w:val="0"/>
        <w:ind w:firstLine="562"/>
        <w:rPr>
          <w:rFonts w:ascii="仿宋" w:hAnsi="仿宋"/>
          <w:szCs w:val="28"/>
        </w:rPr>
      </w:pPr>
      <w:r>
        <w:rPr>
          <w:rFonts w:hint="eastAsia" w:ascii="仿宋" w:hAnsi="仿宋"/>
          <w:b/>
          <w:bCs/>
          <w:szCs w:val="28"/>
        </w:rPr>
        <w:t>2、先进典型不断涌现。</w:t>
      </w:r>
      <w:r>
        <w:rPr>
          <w:rFonts w:hint="eastAsia" w:ascii="仿宋" w:hAnsi="仿宋"/>
          <w:szCs w:val="28"/>
        </w:rPr>
        <w:t>会计专硕研究生35人获得自治区级奖学金，15人获得优秀研究生,2人获优秀研究生干部。研究生立项科研创新项目2项。</w:t>
      </w:r>
    </w:p>
    <w:p>
      <w:pPr>
        <w:pStyle w:val="2"/>
        <w:ind w:left="0" w:leftChars="0" w:firstLine="0" w:firstLineChars="0"/>
      </w:pPr>
    </w:p>
    <w:p>
      <w:pPr>
        <w:widowControl/>
        <w:spacing w:line="240" w:lineRule="auto"/>
        <w:ind w:firstLine="0" w:firstLineChars="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Ⅲ</w:t>
      </w:r>
      <w:r>
        <w:rPr>
          <w:rFonts w:ascii="黑体" w:hAnsi="黑体" w:eastAsia="黑体"/>
          <w:sz w:val="32"/>
          <w:szCs w:val="32"/>
        </w:rPr>
        <w:t xml:space="preserve"> </w:t>
      </w:r>
      <w:r>
        <w:rPr>
          <w:rFonts w:hint="eastAsia" w:ascii="黑体" w:hAnsi="黑体" w:eastAsia="黑体"/>
          <w:sz w:val="32"/>
          <w:szCs w:val="32"/>
        </w:rPr>
        <w:t>研究生培养相关制度及执行情况</w:t>
      </w:r>
    </w:p>
    <w:p>
      <w:pPr>
        <w:pStyle w:val="13"/>
        <w:ind w:left="0" w:leftChars="0" w:firstLine="0" w:firstLineChars="0"/>
        <w:jc w:val="left"/>
        <w:rPr>
          <w:rFonts w:ascii="宋体" w:hAnsi="宋体" w:eastAsia="宋体"/>
          <w:b/>
          <w:bCs/>
          <w:szCs w:val="28"/>
        </w:rPr>
      </w:pPr>
      <w:r>
        <w:rPr>
          <w:rFonts w:hint="eastAsia" w:ascii="宋体" w:hAnsi="宋体" w:eastAsia="宋体"/>
          <w:b/>
          <w:bCs/>
          <w:szCs w:val="28"/>
        </w:rPr>
        <w:t>Ⅲ-1</w:t>
      </w:r>
      <w:r>
        <w:rPr>
          <w:rFonts w:ascii="宋体" w:hAnsi="宋体" w:eastAsia="宋体"/>
          <w:b/>
          <w:bCs/>
          <w:szCs w:val="28"/>
        </w:rPr>
        <w:t xml:space="preserve"> </w:t>
      </w:r>
      <w:r>
        <w:rPr>
          <w:rFonts w:hint="eastAsia" w:ascii="宋体" w:hAnsi="宋体" w:eastAsia="宋体"/>
          <w:b/>
          <w:bCs/>
          <w:szCs w:val="28"/>
        </w:rPr>
        <w:t>课程建设与实施情况（不含全校公共课）</w:t>
      </w:r>
    </w:p>
    <w:tbl>
      <w:tblPr>
        <w:tblStyle w:val="9"/>
        <w:tblW w:w="85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
        <w:gridCol w:w="901"/>
        <w:gridCol w:w="709"/>
        <w:gridCol w:w="425"/>
        <w:gridCol w:w="992"/>
        <w:gridCol w:w="3828"/>
        <w:gridCol w:w="708"/>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cs="宋体"/>
                <w:b/>
                <w:sz w:val="21"/>
              </w:rPr>
            </w:pPr>
            <w:r>
              <w:rPr>
                <w:rFonts w:hint="eastAsia" w:ascii="仿宋" w:hAnsi="仿宋" w:cs="宋体"/>
                <w:b/>
                <w:sz w:val="21"/>
              </w:rPr>
              <w:t>序号</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cs="宋体"/>
                <w:b/>
                <w:sz w:val="21"/>
              </w:rPr>
            </w:pPr>
            <w:r>
              <w:rPr>
                <w:rFonts w:hint="eastAsia" w:ascii="仿宋" w:hAnsi="仿宋" w:cs="宋体"/>
                <w:b/>
                <w:sz w:val="21"/>
              </w:rPr>
              <w:t>课程名称</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cs="宋体"/>
                <w:b/>
                <w:sz w:val="21"/>
              </w:rPr>
            </w:pPr>
            <w:r>
              <w:rPr>
                <w:rFonts w:hint="eastAsia" w:ascii="仿宋" w:hAnsi="仿宋" w:cs="宋体"/>
                <w:b/>
                <w:sz w:val="21"/>
              </w:rPr>
              <w:t>课程</w:t>
            </w:r>
          </w:p>
          <w:p>
            <w:pPr>
              <w:spacing w:line="240" w:lineRule="auto"/>
              <w:ind w:firstLine="0" w:firstLineChars="0"/>
              <w:jc w:val="center"/>
              <w:rPr>
                <w:rFonts w:ascii="仿宋" w:hAnsi="仿宋" w:cs="宋体"/>
                <w:b/>
                <w:sz w:val="21"/>
              </w:rPr>
            </w:pPr>
            <w:r>
              <w:rPr>
                <w:rFonts w:hint="eastAsia" w:ascii="仿宋" w:hAnsi="仿宋" w:cs="宋体"/>
                <w:b/>
                <w:sz w:val="21"/>
              </w:rPr>
              <w:t>类型</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cs="宋体"/>
                <w:b/>
                <w:sz w:val="21"/>
              </w:rPr>
            </w:pPr>
            <w:r>
              <w:rPr>
                <w:rFonts w:hint="eastAsia" w:ascii="仿宋" w:hAnsi="仿宋" w:cs="宋体"/>
                <w:b/>
                <w:sz w:val="21"/>
              </w:rPr>
              <w:t>学分</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cs="宋体"/>
                <w:b/>
                <w:sz w:val="21"/>
              </w:rPr>
            </w:pPr>
            <w:r>
              <w:rPr>
                <w:rFonts w:hint="eastAsia" w:ascii="仿宋" w:hAnsi="仿宋" w:cs="宋体"/>
                <w:b/>
                <w:sz w:val="21"/>
              </w:rPr>
              <w:t>授课</w:t>
            </w:r>
          </w:p>
          <w:p>
            <w:pPr>
              <w:spacing w:line="240" w:lineRule="auto"/>
              <w:ind w:firstLine="0" w:firstLineChars="0"/>
              <w:jc w:val="center"/>
              <w:rPr>
                <w:rFonts w:ascii="仿宋" w:hAnsi="仿宋" w:cs="宋体"/>
                <w:b/>
                <w:sz w:val="21"/>
              </w:rPr>
            </w:pPr>
            <w:r>
              <w:rPr>
                <w:rFonts w:hint="eastAsia" w:ascii="仿宋" w:hAnsi="仿宋" w:cs="宋体"/>
                <w:b/>
                <w:sz w:val="21"/>
              </w:rPr>
              <w:t>教师</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b/>
                <w:sz w:val="21"/>
              </w:rPr>
            </w:pPr>
            <w:r>
              <w:rPr>
                <w:rFonts w:hint="eastAsia" w:ascii="仿宋" w:hAnsi="仿宋" w:cs="宋体"/>
                <w:b/>
                <w:sz w:val="21"/>
              </w:rPr>
              <w:t>课程简介（</w:t>
            </w:r>
            <w:r>
              <w:rPr>
                <w:rFonts w:hint="eastAsia" w:ascii="仿宋" w:hAnsi="仿宋" w:cs="宋体"/>
                <w:b/>
                <w:spacing w:val="-13"/>
                <w:sz w:val="21"/>
              </w:rPr>
              <w:t xml:space="preserve">不超过 </w:t>
            </w:r>
            <w:r>
              <w:rPr>
                <w:rFonts w:hint="eastAsia" w:ascii="仿宋" w:hAnsi="仿宋" w:cs="宋体"/>
                <w:b/>
                <w:sz w:val="21"/>
              </w:rPr>
              <w:t>100 字</w:t>
            </w:r>
            <w:r>
              <w:rPr>
                <w:rFonts w:hint="eastAsia" w:ascii="仿宋" w:hAnsi="仿宋" w:cs="宋体"/>
                <w:b/>
                <w:spacing w:val="-13"/>
                <w:sz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right="169" w:firstLine="0" w:firstLineChars="0"/>
              <w:jc w:val="center"/>
              <w:rPr>
                <w:rFonts w:ascii="仿宋" w:hAnsi="仿宋" w:cs="宋体"/>
                <w:b/>
                <w:sz w:val="21"/>
              </w:rPr>
            </w:pPr>
            <w:r>
              <w:rPr>
                <w:rFonts w:hint="eastAsia" w:ascii="仿宋" w:hAnsi="仿宋" w:cs="宋体"/>
                <w:b/>
                <w:sz w:val="21"/>
              </w:rPr>
              <w:t>授课</w:t>
            </w:r>
          </w:p>
          <w:p>
            <w:pPr>
              <w:spacing w:before="20" w:line="240" w:lineRule="auto"/>
              <w:ind w:right="169" w:firstLine="0" w:firstLineChars="0"/>
              <w:jc w:val="center"/>
              <w:rPr>
                <w:rFonts w:ascii="仿宋" w:hAnsi="仿宋" w:cs="宋体"/>
                <w:b/>
                <w:sz w:val="21"/>
              </w:rPr>
            </w:pPr>
            <w:r>
              <w:rPr>
                <w:rFonts w:hint="eastAsia" w:ascii="仿宋" w:hAnsi="仿宋" w:cs="宋体"/>
                <w:b/>
                <w:sz w:val="21"/>
              </w:rPr>
              <w:t>语言</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173" w:right="164" w:firstLine="0" w:firstLineChars="0"/>
              <w:jc w:val="center"/>
              <w:rPr>
                <w:rFonts w:ascii="仿宋" w:hAnsi="仿宋" w:cs="宋体"/>
                <w:b/>
                <w:sz w:val="21"/>
              </w:rPr>
            </w:pPr>
            <w:r>
              <w:rPr>
                <w:rFonts w:hint="eastAsia" w:ascii="仿宋" w:hAnsi="仿宋" w:cs="宋体"/>
                <w:b/>
                <w:sz w:val="21"/>
              </w:rPr>
              <w:t>课程大纲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kern w:val="0"/>
                <w:sz w:val="21"/>
              </w:rPr>
              <w:t>论文写作</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冯莉</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学术论文写作课程是会计学硕士学生的一门专业课，它是为学生提高论文写作水平和顺利完成毕业论文而设置的。主要教学内容：学术论文写作的重要性、 学术论文特点、 学术论文的主要结构，各个部分的写作技巧、 学术论文资料的收集与整理、数据的处理方法等。</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管理会计理论与实务</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王海燕</w:t>
            </w:r>
          </w:p>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龚巧莉</w:t>
            </w:r>
          </w:p>
        </w:tc>
        <w:tc>
          <w:tcPr>
            <w:tcW w:w="38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left"/>
              <w:rPr>
                <w:rFonts w:ascii="仿宋" w:hAnsi="仿宋" w:cs="宋体"/>
                <w:kern w:val="0"/>
                <w:sz w:val="21"/>
              </w:rPr>
            </w:pPr>
            <w:r>
              <w:rPr>
                <w:rFonts w:hint="eastAsia" w:ascii="仿宋" w:hAnsi="仿宋"/>
                <w:sz w:val="21"/>
              </w:rPr>
              <w:t>管理会计课程的主要内容包括预测与决策、控制与考评、战略成本管理会计等内容。主要讲授企业全面预算管理、责任业绩评价、标准成本差异计算及成本控制、战略成本管理控制等内容。它并非财务会计的记账算账，而是以“</w:t>
            </w:r>
            <w:r>
              <w:rPr>
                <w:rFonts w:ascii="仿宋" w:hAnsi="仿宋"/>
                <w:sz w:val="21"/>
              </w:rPr>
              <w:t>财务支持战略决策，战略融于</w:t>
            </w:r>
            <w:r>
              <w:fldChar w:fldCharType="begin"/>
            </w:r>
            <w:r>
              <w:instrText xml:space="preserve"> HYPERLINK "http://www.goldenfinance.com.cn" \t "_blank" </w:instrText>
            </w:r>
            <w:r>
              <w:fldChar w:fldCharType="separate"/>
            </w:r>
            <w:r>
              <w:rPr>
                <w:rFonts w:ascii="仿宋" w:hAnsi="仿宋"/>
                <w:sz w:val="21"/>
              </w:rPr>
              <w:t>管理</w:t>
            </w:r>
            <w:r>
              <w:rPr>
                <w:rFonts w:ascii="仿宋" w:hAnsi="仿宋"/>
                <w:sz w:val="21"/>
              </w:rPr>
              <w:fldChar w:fldCharType="end"/>
            </w:r>
            <w:r>
              <w:rPr>
                <w:rFonts w:hint="eastAsia" w:ascii="仿宋" w:hAnsi="仿宋"/>
                <w:sz w:val="21"/>
              </w:rPr>
              <w:t>控制”</w:t>
            </w:r>
            <w:r>
              <w:rPr>
                <w:rFonts w:ascii="仿宋" w:hAnsi="仿宋"/>
                <w:sz w:val="21"/>
              </w:rPr>
              <w:t>为理念，</w:t>
            </w:r>
            <w:r>
              <w:rPr>
                <w:rFonts w:hint="eastAsia" w:ascii="仿宋" w:hAnsi="仿宋"/>
                <w:sz w:val="21"/>
              </w:rPr>
              <w:t>为企业管理者提供一种决策与控制方法。该课程</w:t>
            </w:r>
            <w:r>
              <w:rPr>
                <w:rFonts w:ascii="仿宋" w:hAnsi="仿宋"/>
                <w:sz w:val="21"/>
              </w:rPr>
              <w:t>适合于不满足掌握传统财会技能的人，其短而精、全而实的战略财务思维深受</w:t>
            </w:r>
            <w:r>
              <w:rPr>
                <w:rFonts w:hint="eastAsia" w:ascii="仿宋" w:hAnsi="仿宋"/>
                <w:sz w:val="21"/>
              </w:rPr>
              <w:t>高层</w:t>
            </w:r>
            <w:r>
              <w:rPr>
                <w:rFonts w:ascii="仿宋" w:hAnsi="仿宋"/>
                <w:sz w:val="21"/>
              </w:rPr>
              <w:t>财务岗位及企业高管的高度认可，能够有效提高</w:t>
            </w:r>
            <w:r>
              <w:rPr>
                <w:rFonts w:hint="eastAsia" w:ascii="仿宋" w:hAnsi="仿宋"/>
                <w:sz w:val="21"/>
              </w:rPr>
              <w:t>管理</w:t>
            </w:r>
            <w:r>
              <w:rPr>
                <w:rFonts w:ascii="仿宋" w:hAnsi="仿宋"/>
                <w:sz w:val="21"/>
              </w:rPr>
              <w:t>人员的管理素质。</w:t>
            </w:r>
            <w:r>
              <w:rPr>
                <w:rFonts w:hint="eastAsia" w:ascii="仿宋" w:hAnsi="仿宋"/>
                <w:sz w:val="21"/>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3</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财务管理理论和实务</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朱宇</w:t>
            </w:r>
          </w:p>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朱晓</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企业管理正进入一个全新的时代，在经济体制改革浪湖的推动下，我国企业以逐步建立起现代企业制度，该制度以产权明晰、政企分离、管理科学为特征。其中财务管理理论与实务由为重要。因此本课程教学目标与任务是：让学生了解社会主义市场经济条件下财务管理理论与实务的基本理论和基本方法。懂得各种财务活动之间的联系以及财务活动同其它经济活动的联系。拿握财务管理理论与实务的各种业务处理方法，树立财务意识和财务观念，培养学生综合理财能力和解决实际财务问题的动手能力。重点掌握资金时问价值与风险价值在理财中的具体运用。</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4</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审计理论与实务</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胡本源</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 w:hAnsi="仿宋" w:cs="宋体"/>
                <w:kern w:val="0"/>
                <w:sz w:val="21"/>
              </w:rPr>
            </w:pPr>
            <w:r>
              <w:rPr>
                <w:rFonts w:hint="eastAsia" w:ascii="仿宋" w:hAnsi="仿宋" w:cs="宋体"/>
                <w:kern w:val="0"/>
                <w:sz w:val="21"/>
              </w:rPr>
              <w:t>本课程讲授审计的理论与实务问题。理论是对实务的理性指导，审计理论部分的教学包括审计环境的介绍，以及基于此环境的审计理论框架的介绍，包括审计目标、审计概念、审计规范、审计基本方法、审计报告、审计法律责任等专题；实务是理论的具体应用，审计实务的教学将介绍现代风险导向审计应用的基本逻辑、如何进行经营风险的识别和评估，以及以经营风险评估的结果设计审计方案并实施审计方案，运用合理职业判断，出具审计意见。</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5</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财务会计理论与实务</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朱宇</w:t>
            </w:r>
          </w:p>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朱晓</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财务会计理论与实务》是一门实务操作性很强的学科知识，是建立在基础会计知识、税法知识、经济法知识以及财务管理等知识基础上的一门学科。主要解决企业会计交易事项的特殊性和复杂性的会计处理问题，和对企业的经济信息进行综合与加工转换为会计信息的一种应用性核算方法。</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6</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会计研究方法论</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韩金红</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掌握会计学研究运用的主要研究方法，包括规范研究、实证研究等；另外还要了解与会计学术研究成果有关的发出与发表，如如何识别有意义的研究选题，会计学术论文的撰写与发表；第三是讨论会计研究方法在会计学主要领域的一些应用。</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7</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会计与财务前沿讲座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陈继萍</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rPr>
                <w:rFonts w:ascii="仿宋" w:hAnsi="仿宋" w:cs="宋体"/>
                <w:kern w:val="0"/>
                <w:sz w:val="21"/>
              </w:rPr>
            </w:pPr>
            <w:r>
              <w:rPr>
                <w:rFonts w:hint="eastAsia" w:ascii="仿宋" w:hAnsi="仿宋" w:cs="宋体"/>
                <w:sz w:val="21"/>
              </w:rPr>
              <w:t>在会计、财管、审计领域中体现新的研究理论，分析时代发展经济形势的变化，探索对资本市场会计、审计领域的影响。对国内外顶级期刊及学术著作研读，使会计与财务领域的研究方法更加多元化，理论研究注重与国内外现状接轨。融合校内外专家教学，在案例教学方面更加灵活。</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8</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商业伦理与职业道德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必修课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陈维青</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sz w:val="21"/>
              </w:rPr>
              <w:t>通过本课程的教学，使学生了解伦理学的基本原理、商业伦理的具体内容与会计职业道德准则与相关规范，以便其结合自身的岗位责任把握相关的伦理规范与和要点，从而提高企业会计人员处理道德困境的能力，进而提升从业人员的道德修养与职业水准。</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9</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财务报表分析</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苏玲</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财务报表分析是对企业财务报表所提供的数据进行</w:t>
            </w:r>
            <w:r>
              <w:fldChar w:fldCharType="begin"/>
            </w:r>
            <w:r>
              <w:instrText xml:space="preserve"> HYPERLINK "https://baike.baidu.com/item/%E5%8A%A0%E5%B7%A5/7353178" \t "https://baike.baidu.com/item/%E8%B4%A2%E5%8A%A1%E6%8A%A5%E8%A1%A8%E5%88%86%E6%9E%90/_blank" </w:instrText>
            </w:r>
            <w:r>
              <w:fldChar w:fldCharType="separate"/>
            </w:r>
            <w:r>
              <w:rPr>
                <w:rFonts w:ascii="仿宋" w:hAnsi="仿宋" w:cs="宋体"/>
                <w:kern w:val="0"/>
                <w:sz w:val="21"/>
              </w:rPr>
              <w:t>加工</w:t>
            </w:r>
            <w:r>
              <w:rPr>
                <w:rFonts w:ascii="仿宋" w:hAnsi="仿宋" w:cs="宋体"/>
                <w:kern w:val="0"/>
                <w:sz w:val="21"/>
              </w:rPr>
              <w:fldChar w:fldCharType="end"/>
            </w:r>
            <w:r>
              <w:rPr>
                <w:rFonts w:ascii="仿宋" w:hAnsi="仿宋" w:cs="宋体"/>
                <w:kern w:val="0"/>
                <w:sz w:val="21"/>
              </w:rPr>
              <w:t>、</w:t>
            </w:r>
            <w:r>
              <w:fldChar w:fldCharType="begin"/>
            </w:r>
            <w:r>
              <w:instrText xml:space="preserve"> HYPERLINK "https://baike.baidu.com/item/%E5%88%86%E6%9E%90/4327108" \t "https://baike.baidu.com/item/%E8%B4%A2%E5%8A%A1%E6%8A%A5%E8%A1%A8%E5%88%86%E6%9E%90/_blank" </w:instrText>
            </w:r>
            <w:r>
              <w:fldChar w:fldCharType="separate"/>
            </w:r>
            <w:r>
              <w:rPr>
                <w:rFonts w:ascii="仿宋" w:hAnsi="仿宋" w:cs="宋体"/>
                <w:kern w:val="0"/>
                <w:sz w:val="21"/>
              </w:rPr>
              <w:t>分析</w:t>
            </w:r>
            <w:r>
              <w:rPr>
                <w:rFonts w:ascii="仿宋" w:hAnsi="仿宋" w:cs="宋体"/>
                <w:kern w:val="0"/>
                <w:sz w:val="21"/>
              </w:rPr>
              <w:fldChar w:fldCharType="end"/>
            </w:r>
            <w:r>
              <w:rPr>
                <w:rFonts w:ascii="仿宋" w:hAnsi="仿宋" w:cs="宋体"/>
                <w:kern w:val="0"/>
                <w:sz w:val="21"/>
              </w:rPr>
              <w:t>、比较、评价和解释。如果说，记</w:t>
            </w:r>
            <w:r>
              <w:rPr>
                <w:rFonts w:hint="eastAsia" w:ascii="仿宋" w:hAnsi="仿宋" w:cs="宋体"/>
                <w:kern w:val="0"/>
                <w:sz w:val="21"/>
              </w:rPr>
              <w:t>账</w:t>
            </w:r>
            <w:r>
              <w:rPr>
                <w:rFonts w:ascii="仿宋" w:hAnsi="仿宋" w:cs="宋体"/>
                <w:kern w:val="0"/>
                <w:sz w:val="21"/>
              </w:rPr>
              <w:t>、编表属于会计的反映功能，那么，财务报表分析则隶于解释和评价功能。财务报表分析的目的在于，判断企业的财务状况和诊察企业</w:t>
            </w:r>
            <w:r>
              <w:fldChar w:fldCharType="begin"/>
            </w:r>
            <w:r>
              <w:instrText xml:space="preserve"> HYPERLINK "https://baike.baidu.com/item/%E7%BB%8F%E8%90%A5%E7%AE%A1%E7%90%86/6088712" \t "https://baike.baidu.com/item/%E8%B4%A2%E5%8A%A1%E6%8A%A5%E8%A1%A8%E5%88%86%E6%9E%90/_blank" </w:instrText>
            </w:r>
            <w:r>
              <w:fldChar w:fldCharType="separate"/>
            </w:r>
            <w:r>
              <w:rPr>
                <w:rFonts w:ascii="仿宋" w:hAnsi="仿宋" w:cs="宋体"/>
                <w:kern w:val="0"/>
                <w:sz w:val="21"/>
              </w:rPr>
              <w:t>经营管理</w:t>
            </w:r>
            <w:r>
              <w:rPr>
                <w:rFonts w:ascii="仿宋" w:hAnsi="仿宋" w:cs="宋体"/>
                <w:kern w:val="0"/>
                <w:sz w:val="21"/>
              </w:rPr>
              <w:fldChar w:fldCharType="end"/>
            </w:r>
            <w:r>
              <w:rPr>
                <w:rFonts w:ascii="仿宋" w:hAnsi="仿宋" w:cs="宋体"/>
                <w:kern w:val="0"/>
                <w:sz w:val="21"/>
              </w:rPr>
              <w:t>的得失。通过分析，可以判断企业财务状况是否良好，企业的经营管理是否健全，企业业务前景是否光明，同时，还可以通过分析，找出企业经营管理的症结，提出解决问题的办法。</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10</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公司治理理论与实务</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李薇</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认识公司治理对企业生存发展和积聚竞争能力的重要影响。学习掌握公司治理的基本理论、核心内容、常见问题及应用分析法。</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11</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政府与非营利组织会计</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田斌</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我国现行的预算会计的法规、制度为依据， 按照高职高专经济管理类专业预算会计课程教学的具体要求，简要地介绍了预算会计的基本理论，重点介绍了事业单位会计、行政单位会计和财政总预算会计的主要内容。</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12</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国际会计准则</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王秀丽</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使学生了解国际范围内会计准则的基本模式和内容，通过本门课程的学习，进一步了解国际会计准则变迁的背景和过程，了解国际范围内会计淮则的主要模式和主要差异，对比国际准则与我国会计准则概念框、具体准则的差异相同点。</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13</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内部控制与风险管理</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孙文娟</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 w:hAnsi="仿宋" w:cs="宋体"/>
                <w:kern w:val="0"/>
                <w:sz w:val="21"/>
              </w:rPr>
            </w:pPr>
            <w:r>
              <w:rPr>
                <w:rFonts w:hint="eastAsia" w:ascii="仿宋" w:hAnsi="仿宋" w:cs="宋体"/>
                <w:kern w:val="0"/>
                <w:sz w:val="21"/>
              </w:rPr>
              <w:t>通过本课程的学习，学生应了解内部控制与风险管理的基本理论、内部控制与风险管理的方式、内部控制基本规范和配套指引，从而掌握各种经济业务的内部控制和风险管理活动的建立程序和方法，为各类企业建立和实施内部控制制度与风险管理提供理论基础和操作建议。</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14</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业绩评价与激励机制</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杨立芳</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ascii="仿宋" w:hAnsi="仿宋" w:cs="宋体"/>
                <w:sz w:val="21"/>
              </w:rPr>
              <w:t>公司业绩评价与激励机制是一个古老而永恒的话题。随着环境的变化，衡量业绩的指标形式先后出现了成本差异、投资报酬率、经济增加值和平衡计分卡。衡量业绩的角度从单一财务视角发展到</w:t>
            </w:r>
            <w:r>
              <w:rPr>
                <w:rFonts w:hint="eastAsia" w:ascii="仿宋" w:hAnsi="仿宋" w:cs="宋体"/>
                <w:sz w:val="21"/>
              </w:rPr>
              <w:t>当下</w:t>
            </w:r>
            <w:r>
              <w:rPr>
                <w:rFonts w:ascii="仿宋" w:hAnsi="仿宋" w:cs="宋体"/>
                <w:sz w:val="21"/>
              </w:rPr>
              <w:t>的全面视角。作为管理控制系统重要组成部分的业绩评价是为了实现企业的目标</w:t>
            </w:r>
            <w:r>
              <w:rPr>
                <w:rFonts w:hint="eastAsia" w:ascii="仿宋" w:hAnsi="仿宋" w:cs="宋体"/>
                <w:sz w:val="21"/>
              </w:rPr>
              <w:t>所使用的一种约束激励手段</w:t>
            </w:r>
            <w:r>
              <w:rPr>
                <w:rFonts w:ascii="仿宋" w:hAnsi="仿宋" w:cs="宋体"/>
                <w:sz w:val="21"/>
              </w:rPr>
              <w:t>。</w:t>
            </w:r>
            <w:r>
              <w:rPr>
                <w:rFonts w:hint="eastAsia" w:ascii="仿宋" w:hAnsi="仿宋" w:cs="宋体"/>
                <w:sz w:val="21"/>
              </w:rPr>
              <w:t>本课程</w:t>
            </w:r>
            <w:r>
              <w:rPr>
                <w:rFonts w:ascii="仿宋" w:hAnsi="仿宋" w:cs="宋体"/>
                <w:sz w:val="21"/>
              </w:rPr>
              <w:t>回顾了企业业绩评价与激励发展的历程，阐述了许多业绩评价与激励机制理论和方法，并提供了大量的企业业绩评价和激励机制案例。</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370"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15</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企业并购</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ascii="仿宋" w:hAnsi="仿宋" w:cs="宋体"/>
                <w:kern w:val="0"/>
                <w:sz w:val="21"/>
              </w:rPr>
            </w:pPr>
            <w:r>
              <w:rPr>
                <w:rFonts w:hint="eastAsia" w:ascii="仿宋" w:hAnsi="仿宋" w:cs="宋体"/>
                <w:kern w:val="0"/>
                <w:sz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kern w:val="0"/>
                <w:sz w:val="21"/>
              </w:rPr>
            </w:pPr>
            <w:r>
              <w:rPr>
                <w:rFonts w:hint="eastAsia" w:ascii="仿宋" w:hAnsi="仿宋" w:cs="宋体"/>
                <w:kern w:val="0"/>
                <w:sz w:val="21"/>
              </w:rPr>
              <w:t>苏玲</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left"/>
              <w:rPr>
                <w:rFonts w:ascii="仿宋" w:hAnsi="仿宋" w:cs="宋体"/>
                <w:kern w:val="0"/>
                <w:sz w:val="21"/>
              </w:rPr>
            </w:pPr>
            <w:r>
              <w:rPr>
                <w:rFonts w:hint="eastAsia" w:ascii="仿宋" w:hAnsi="仿宋" w:cs="宋体"/>
                <w:kern w:val="0"/>
                <w:sz w:val="21"/>
              </w:rPr>
              <w:t>本课程通过多种形式的训练载体，可以使学生掌握并购重组的基本概念、理论和基本方法，理解并购重组的流程，获取并购重组的最佳实践经验，培养学生运用并购重组的基本理论与基本方法规范分析并购案例的能力，为今后从事相关工作打下扎实的专业基础。</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中文</w:t>
            </w:r>
          </w:p>
        </w:tc>
        <w:tc>
          <w:tcPr>
            <w:tcW w:w="58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p>
        </w:tc>
      </w:tr>
    </w:tbl>
    <w:p>
      <w:pPr>
        <w:pStyle w:val="13"/>
        <w:ind w:left="0" w:leftChars="0" w:firstLine="0" w:firstLineChars="0"/>
        <w:jc w:val="left"/>
        <w:rPr>
          <w:rFonts w:ascii="宋体" w:hAnsi="宋体" w:eastAsia="宋体"/>
          <w:b/>
          <w:bCs/>
          <w:szCs w:val="28"/>
        </w:rPr>
      </w:pPr>
    </w:p>
    <w:p>
      <w:pPr>
        <w:pStyle w:val="13"/>
        <w:spacing w:before="0" w:beforeAutospacing="0" w:after="0" w:afterAutospacing="0"/>
        <w:ind w:left="0" w:leftChars="0" w:firstLine="0" w:firstLineChars="0"/>
        <w:jc w:val="left"/>
        <w:rPr>
          <w:rFonts w:ascii="宋体" w:hAnsi="宋体" w:eastAsia="宋体"/>
          <w:b/>
          <w:bCs/>
          <w:szCs w:val="28"/>
        </w:rPr>
      </w:pPr>
      <w:r>
        <w:rPr>
          <w:rFonts w:hint="eastAsia" w:ascii="宋体" w:hAnsi="宋体" w:eastAsia="宋体"/>
          <w:b/>
          <w:bCs/>
          <w:szCs w:val="28"/>
        </w:rPr>
        <w:t>Ⅲ-2导师选拔与培训</w:t>
      </w:r>
    </w:p>
    <w:p>
      <w:pPr>
        <w:ind w:firstLine="0" w:firstLineChars="0"/>
        <w:rPr>
          <w:rFonts w:ascii="仿宋" w:hAnsi="仿宋"/>
          <w:b/>
          <w:bCs/>
          <w:szCs w:val="28"/>
        </w:rPr>
      </w:pPr>
      <w:r>
        <w:rPr>
          <w:rFonts w:hint="eastAsia" w:ascii="仿宋" w:hAnsi="仿宋"/>
          <w:b/>
          <w:bCs/>
          <w:szCs w:val="28"/>
        </w:rPr>
        <w:t>Ⅲ-2-1导师选拔情况</w:t>
      </w:r>
    </w:p>
    <w:p>
      <w:pPr>
        <w:autoSpaceDE w:val="0"/>
        <w:autoSpaceDN w:val="0"/>
        <w:adjustRightInd w:val="0"/>
        <w:ind w:firstLine="562"/>
        <w:rPr>
          <w:rFonts w:ascii="仿宋" w:hAnsi="仿宋"/>
          <w:b/>
          <w:bCs/>
          <w:kern w:val="0"/>
          <w:szCs w:val="28"/>
        </w:rPr>
      </w:pPr>
      <w:r>
        <w:rPr>
          <w:rFonts w:hint="eastAsia" w:ascii="仿宋" w:hAnsi="仿宋"/>
          <w:b/>
          <w:bCs/>
          <w:kern w:val="0"/>
          <w:szCs w:val="28"/>
        </w:rPr>
        <w:t>1、基本条件</w:t>
      </w:r>
    </w:p>
    <w:p>
      <w:pPr>
        <w:autoSpaceDE w:val="0"/>
        <w:autoSpaceDN w:val="0"/>
        <w:adjustRightInd w:val="0"/>
        <w:ind w:firstLine="560"/>
        <w:rPr>
          <w:rFonts w:ascii="仿宋" w:hAnsi="仿宋"/>
          <w:kern w:val="0"/>
          <w:szCs w:val="28"/>
        </w:rPr>
      </w:pPr>
      <w:r>
        <w:rPr>
          <w:rFonts w:hint="eastAsia" w:ascii="仿宋" w:hAnsi="仿宋"/>
          <w:kern w:val="0"/>
          <w:szCs w:val="28"/>
        </w:rPr>
        <w:t>（1）坚持正确的政治方向，拥护中国共产党的领导，贯彻党的教育方针，自觉维护祖国统一、民族团结，具有高度的政治责任感。</w:t>
      </w:r>
    </w:p>
    <w:p>
      <w:pPr>
        <w:autoSpaceDE w:val="0"/>
        <w:autoSpaceDN w:val="0"/>
        <w:adjustRightInd w:val="0"/>
        <w:ind w:firstLine="560"/>
        <w:rPr>
          <w:rFonts w:ascii="仿宋" w:hAnsi="仿宋"/>
          <w:kern w:val="0"/>
          <w:szCs w:val="28"/>
        </w:rPr>
      </w:pPr>
      <w:r>
        <w:rPr>
          <w:rFonts w:hint="eastAsia" w:ascii="仿宋" w:hAnsi="仿宋"/>
          <w:kern w:val="0"/>
          <w:szCs w:val="28"/>
        </w:rPr>
        <w:t>（2）遵守教师职业道德规范，谨遵学术规范，恪守学术道德，自觉维护公平正义和风清气正的学术环境，具有良好的师德师风。</w:t>
      </w:r>
    </w:p>
    <w:p>
      <w:pPr>
        <w:autoSpaceDE w:val="0"/>
        <w:autoSpaceDN w:val="0"/>
        <w:adjustRightInd w:val="0"/>
        <w:ind w:firstLine="560"/>
        <w:rPr>
          <w:rFonts w:ascii="仿宋" w:hAnsi="仿宋"/>
          <w:kern w:val="0"/>
          <w:szCs w:val="28"/>
        </w:rPr>
      </w:pPr>
      <w:r>
        <w:rPr>
          <w:rFonts w:hint="eastAsia" w:ascii="仿宋" w:hAnsi="仿宋"/>
          <w:kern w:val="0"/>
          <w:szCs w:val="28"/>
        </w:rPr>
        <w:t>（3）具有深厚的学术造诣和执着的学术追求。</w:t>
      </w:r>
    </w:p>
    <w:p>
      <w:pPr>
        <w:pStyle w:val="13"/>
        <w:spacing w:before="0" w:beforeAutospacing="0" w:after="0" w:afterAutospacing="0"/>
        <w:ind w:left="0" w:leftChars="0" w:firstLine="562"/>
        <w:rPr>
          <w:rFonts w:ascii="仿宋" w:hAnsi="仿宋"/>
          <w:b/>
          <w:bCs/>
          <w:kern w:val="0"/>
          <w:szCs w:val="28"/>
        </w:rPr>
      </w:pPr>
      <w:r>
        <w:rPr>
          <w:rFonts w:hint="eastAsia" w:ascii="仿宋" w:hAnsi="仿宋"/>
          <w:b/>
          <w:bCs/>
          <w:kern w:val="0"/>
          <w:szCs w:val="28"/>
        </w:rPr>
        <w:t>2、硕士生遴选条件</w:t>
      </w:r>
    </w:p>
    <w:p>
      <w:pPr>
        <w:autoSpaceDE w:val="0"/>
        <w:autoSpaceDN w:val="0"/>
        <w:adjustRightInd w:val="0"/>
        <w:ind w:firstLine="560"/>
        <w:rPr>
          <w:rFonts w:ascii="仿宋" w:hAnsi="仿宋"/>
          <w:kern w:val="0"/>
          <w:szCs w:val="28"/>
        </w:rPr>
      </w:pPr>
      <w:r>
        <w:rPr>
          <w:rFonts w:hint="eastAsia" w:ascii="仿宋" w:hAnsi="仿宋"/>
          <w:kern w:val="0"/>
          <w:szCs w:val="28"/>
        </w:rPr>
        <w:t>（1）具有高级职称或博士学位的教师。</w:t>
      </w:r>
    </w:p>
    <w:p>
      <w:pPr>
        <w:autoSpaceDE w:val="0"/>
        <w:autoSpaceDN w:val="0"/>
        <w:adjustRightInd w:val="0"/>
        <w:ind w:firstLine="560"/>
        <w:rPr>
          <w:rFonts w:ascii="仿宋" w:hAnsi="仿宋"/>
          <w:kern w:val="0"/>
          <w:szCs w:val="28"/>
        </w:rPr>
      </w:pPr>
      <w:r>
        <w:rPr>
          <w:rFonts w:hint="eastAsia" w:ascii="仿宋" w:hAnsi="仿宋"/>
          <w:kern w:val="0"/>
          <w:szCs w:val="28"/>
        </w:rPr>
        <w:t>（2）具备指导研究生的能力。</w:t>
      </w:r>
    </w:p>
    <w:p>
      <w:pPr>
        <w:autoSpaceDE w:val="0"/>
        <w:autoSpaceDN w:val="0"/>
        <w:adjustRightInd w:val="0"/>
        <w:ind w:firstLine="560"/>
        <w:rPr>
          <w:rFonts w:ascii="仿宋" w:hAnsi="仿宋"/>
          <w:kern w:val="0"/>
          <w:szCs w:val="28"/>
        </w:rPr>
      </w:pPr>
      <w:r>
        <w:rPr>
          <w:rFonts w:hint="eastAsia" w:ascii="仿宋" w:hAnsi="仿宋"/>
          <w:kern w:val="0"/>
          <w:szCs w:val="28"/>
        </w:rPr>
        <w:t>（3）所从事的专业或研究领域具有硕士学位授权点。</w:t>
      </w:r>
    </w:p>
    <w:p>
      <w:pPr>
        <w:autoSpaceDE w:val="0"/>
        <w:autoSpaceDN w:val="0"/>
        <w:adjustRightInd w:val="0"/>
        <w:ind w:firstLine="560"/>
        <w:rPr>
          <w:rFonts w:ascii="仿宋" w:hAnsi="仿宋"/>
          <w:kern w:val="0"/>
          <w:szCs w:val="28"/>
        </w:rPr>
      </w:pPr>
      <w:r>
        <w:rPr>
          <w:rFonts w:hint="eastAsia" w:ascii="仿宋" w:hAnsi="仿宋"/>
          <w:kern w:val="0"/>
          <w:szCs w:val="28"/>
        </w:rPr>
        <w:t>（4）近四年主持各类科研课题（不含校级课题），或主持自治区研究生教改课题，或发表核心期刊论文，或编撰的原创案例入选“全国百篇优秀案例”库或入选相关专业学位教指委案例库（排名第一）。</w:t>
      </w:r>
    </w:p>
    <w:p>
      <w:pPr>
        <w:ind w:firstLine="0" w:firstLineChars="0"/>
        <w:rPr>
          <w:rFonts w:ascii="仿宋" w:hAnsi="仿宋"/>
          <w:b/>
          <w:bCs/>
          <w:szCs w:val="28"/>
        </w:rPr>
      </w:pPr>
    </w:p>
    <w:p>
      <w:pPr>
        <w:ind w:firstLine="0" w:firstLineChars="0"/>
        <w:rPr>
          <w:rFonts w:ascii="仿宋" w:hAnsi="仿宋"/>
          <w:b/>
          <w:bCs/>
          <w:szCs w:val="28"/>
        </w:rPr>
      </w:pPr>
      <w:r>
        <w:rPr>
          <w:rFonts w:hint="eastAsia" w:ascii="仿宋" w:hAnsi="仿宋"/>
          <w:b/>
          <w:bCs/>
          <w:szCs w:val="28"/>
        </w:rPr>
        <w:t>Ⅲ-2-2 导师培训情况</w:t>
      </w:r>
    </w:p>
    <w:tbl>
      <w:tblPr>
        <w:tblStyle w:val="9"/>
        <w:tblW w:w="86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3686"/>
        <w:gridCol w:w="1417"/>
        <w:gridCol w:w="1276"/>
        <w:gridCol w:w="1134"/>
        <w:gridCol w:w="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81" w:line="240" w:lineRule="auto"/>
              <w:ind w:right="252" w:firstLine="0" w:firstLineChars="0"/>
              <w:jc w:val="left"/>
              <w:rPr>
                <w:rFonts w:ascii="仿宋" w:hAnsi="仿宋" w:cs="宋体"/>
                <w:b/>
                <w:bCs/>
                <w:sz w:val="21"/>
              </w:rPr>
            </w:pPr>
            <w:r>
              <w:rPr>
                <w:rFonts w:hint="eastAsia" w:ascii="仿宋" w:hAnsi="仿宋" w:cs="宋体"/>
                <w:b/>
                <w:bCs/>
                <w:sz w:val="21"/>
              </w:rPr>
              <w:t>序号</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81" w:line="240" w:lineRule="auto"/>
              <w:ind w:firstLineChars="0"/>
              <w:jc w:val="center"/>
              <w:rPr>
                <w:rFonts w:ascii="仿宋" w:hAnsi="仿宋" w:cs="宋体"/>
                <w:b/>
                <w:bCs/>
                <w:sz w:val="21"/>
              </w:rPr>
            </w:pPr>
            <w:r>
              <w:rPr>
                <w:rFonts w:hint="eastAsia" w:ascii="仿宋" w:hAnsi="仿宋" w:cs="宋体"/>
                <w:b/>
                <w:bCs/>
                <w:sz w:val="21"/>
              </w:rPr>
              <w:t>培训主题</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ascii="仿宋" w:hAnsi="仿宋" w:cs="宋体"/>
                <w:b/>
                <w:bCs/>
                <w:sz w:val="21"/>
              </w:rPr>
            </w:pPr>
            <w:r>
              <w:rPr>
                <w:rFonts w:hint="eastAsia" w:ascii="仿宋" w:hAnsi="仿宋" w:cs="宋体"/>
                <w:b/>
                <w:bCs/>
                <w:sz w:val="21"/>
              </w:rPr>
              <w:t>培训时间</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ascii="仿宋" w:hAnsi="仿宋" w:cs="宋体"/>
                <w:b/>
                <w:bCs/>
                <w:sz w:val="21"/>
              </w:rPr>
            </w:pPr>
            <w:r>
              <w:rPr>
                <w:rFonts w:hint="eastAsia" w:ascii="仿宋" w:hAnsi="仿宋" w:cs="宋体"/>
                <w:b/>
                <w:bCs/>
                <w:sz w:val="21"/>
              </w:rPr>
              <w:t>培训人次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ascii="仿宋" w:hAnsi="仿宋" w:cs="宋体"/>
                <w:b/>
                <w:bCs/>
                <w:sz w:val="21"/>
              </w:rPr>
            </w:pPr>
            <w:r>
              <w:rPr>
                <w:rFonts w:hint="eastAsia" w:ascii="仿宋" w:hAnsi="仿宋" w:cs="宋体"/>
                <w:b/>
                <w:bCs/>
                <w:sz w:val="21"/>
              </w:rPr>
              <w:t>主办单位</w:t>
            </w:r>
          </w:p>
        </w:tc>
        <w:tc>
          <w:tcPr>
            <w:tcW w:w="599" w:type="dxa"/>
            <w:tcBorders>
              <w:top w:val="single" w:color="000000"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ascii="仿宋" w:hAnsi="仿宋" w:cs="宋体"/>
                <w:b/>
                <w:bCs/>
                <w:sz w:val="21"/>
              </w:rPr>
            </w:pPr>
            <w:r>
              <w:rPr>
                <w:rFonts w:hint="eastAsia" w:ascii="仿宋" w:hAnsi="仿宋" w:cs="宋体"/>
                <w:b/>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工商管理案列开发与教学</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2021.06.16</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left"/>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管理类本科人才培养改革探索与实践</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left"/>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3</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MPAcc人才培养改革创新研究</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4</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青年教师如何做好学术起步？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5</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科研课题申报交流</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6</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产融结合、治理相嵌与企业绩效</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7</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风险投资“分心”与企业掏空行为</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2021.06.17</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8</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司法典型判例与民营企业产权保护</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2021.06.18</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9</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会计文本分析在会计研究中的应用</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2021.06.18</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10</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市场监管与个人声誉机制效应</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2021.06.18</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11</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会计学术能力养成与职业生涯规划</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2021.06.18</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12</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IFRS最新进展</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2021.06.18</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13</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图书馆资源使用讲座</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2021.11.08</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14</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案例开发与研究讲座</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2021.12.21</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ascii="仿宋" w:hAnsi="仿宋" w:cs="宋体"/>
                <w:sz w:val="21"/>
              </w:rPr>
            </w:pPr>
            <w:r>
              <w:rPr>
                <w:rFonts w:hint="eastAsia" w:ascii="仿宋" w:hAnsi="仿宋" w:cs="宋体"/>
                <w:sz w:val="21"/>
              </w:rPr>
              <w:t>会计学院</w:t>
            </w:r>
          </w:p>
        </w:tc>
        <w:tc>
          <w:tcPr>
            <w:tcW w:w="599" w:type="dxa"/>
            <w:tcBorders>
              <w:top w:val="single" w:color="000000" w:sz="4" w:space="0"/>
              <w:left w:val="single" w:color="000000" w:sz="4" w:space="0"/>
              <w:bottom w:val="single" w:color="000000" w:sz="4" w:space="0"/>
              <w:right w:val="single" w:color="000000" w:sz="4" w:space="0"/>
            </w:tcBorders>
          </w:tcPr>
          <w:p>
            <w:pPr>
              <w:spacing w:before="81" w:line="240" w:lineRule="auto"/>
              <w:ind w:left="260" w:right="252" w:firstLine="560" w:firstLineChars="0"/>
              <w:jc w:val="center"/>
              <w:rPr>
                <w:rFonts w:ascii="宋体" w:hAnsi="宋体" w:eastAsia="宋体" w:cs="宋体"/>
                <w:sz w:val="21"/>
              </w:rPr>
            </w:pPr>
          </w:p>
        </w:tc>
      </w:tr>
    </w:tbl>
    <w:p>
      <w:pPr>
        <w:pStyle w:val="2"/>
        <w:spacing w:after="0"/>
        <w:ind w:left="0" w:leftChars="0" w:firstLine="0" w:firstLineChars="0"/>
      </w:pPr>
    </w:p>
    <w:p>
      <w:pPr>
        <w:pStyle w:val="13"/>
        <w:spacing w:before="0" w:beforeAutospacing="0" w:after="0" w:afterAutospacing="0"/>
        <w:ind w:left="0" w:leftChars="0" w:firstLine="0" w:firstLineChars="0"/>
        <w:jc w:val="left"/>
        <w:rPr>
          <w:rFonts w:ascii="宋体" w:hAnsi="宋体" w:eastAsia="宋体"/>
          <w:b/>
          <w:bCs/>
          <w:szCs w:val="28"/>
        </w:rPr>
      </w:pPr>
      <w:r>
        <w:rPr>
          <w:rFonts w:hint="eastAsia" w:ascii="宋体" w:hAnsi="宋体" w:eastAsia="宋体"/>
          <w:b/>
          <w:bCs/>
          <w:szCs w:val="28"/>
        </w:rPr>
        <w:t>Ⅲ-3</w:t>
      </w:r>
      <w:r>
        <w:rPr>
          <w:rFonts w:ascii="宋体" w:hAnsi="宋体" w:eastAsia="宋体"/>
          <w:b/>
          <w:bCs/>
          <w:szCs w:val="28"/>
        </w:rPr>
        <w:t xml:space="preserve"> </w:t>
      </w:r>
      <w:r>
        <w:rPr>
          <w:rFonts w:hint="eastAsia" w:ascii="宋体" w:hAnsi="宋体" w:eastAsia="宋体"/>
          <w:b/>
          <w:bCs/>
          <w:szCs w:val="28"/>
        </w:rPr>
        <w:t>师德师风建设情况</w:t>
      </w:r>
    </w:p>
    <w:p>
      <w:pPr>
        <w:autoSpaceDE w:val="0"/>
        <w:ind w:firstLine="562"/>
        <w:jc w:val="left"/>
        <w:rPr>
          <w:rFonts w:ascii="仿宋" w:hAnsi="仿宋"/>
          <w:b/>
          <w:bCs/>
          <w:szCs w:val="28"/>
        </w:rPr>
      </w:pPr>
      <w:r>
        <w:rPr>
          <w:rFonts w:hint="eastAsia" w:ascii="仿宋" w:hAnsi="仿宋"/>
          <w:b/>
          <w:bCs/>
          <w:szCs w:val="28"/>
        </w:rPr>
        <w:t>1、加强领导，强化机制。</w:t>
      </w:r>
      <w:r>
        <w:rPr>
          <w:rFonts w:hint="eastAsia" w:ascii="仿宋" w:hAnsi="仿宋"/>
          <w:szCs w:val="28"/>
        </w:rPr>
        <w:t>学校高度重视师德师风情况，坚决落实师德师风建设的相关要求，召开会议专题研讨学院师德师风建设情况。成立师德师风建设领导小组，负责师德师风建设工作，制定了《会计学院师德师风建设长效机制管理办法（修订）》，明确了师德师风的具体要求和内容。向广大教师及时关于师德师风的相关工作内容和要求，做到令行禁止，坚决实行师德一票否决制，确保师德师风建设“零事故”。</w:t>
      </w:r>
    </w:p>
    <w:p>
      <w:pPr>
        <w:autoSpaceDE w:val="0"/>
        <w:ind w:firstLine="562"/>
        <w:jc w:val="left"/>
        <w:rPr>
          <w:rFonts w:ascii="仿宋" w:hAnsi="仿宋"/>
          <w:b/>
          <w:bCs/>
          <w:szCs w:val="28"/>
        </w:rPr>
      </w:pPr>
      <w:r>
        <w:rPr>
          <w:rFonts w:hint="eastAsia" w:ascii="仿宋" w:hAnsi="仿宋"/>
          <w:b/>
          <w:bCs/>
          <w:szCs w:val="28"/>
        </w:rPr>
        <w:t>2、认真落实立德树人根本任务。</w:t>
      </w:r>
      <w:r>
        <w:rPr>
          <w:rFonts w:hint="eastAsia" w:ascii="仿宋" w:hAnsi="仿宋"/>
          <w:szCs w:val="28"/>
        </w:rPr>
        <w:t>通过教职工大会认真组织学习教育部印发的《高等学校课程思政建设指导纲要》，明确要求“所有教师、所有课程都要承担好育人责任，使各课程与思政课程同向同行”。在学院的统一部署下，研究生所有课程将习近平新时代中国特色社会主义思想、社会主义核心价值观教育、诚信教育、中华优秀传统文化教育和法制教育有机融入所有课程。</w:t>
      </w:r>
    </w:p>
    <w:p>
      <w:pPr>
        <w:autoSpaceDE w:val="0"/>
        <w:ind w:firstLine="562"/>
        <w:jc w:val="left"/>
        <w:rPr>
          <w:rFonts w:ascii="仿宋" w:hAnsi="仿宋"/>
          <w:b/>
          <w:bCs/>
          <w:szCs w:val="28"/>
        </w:rPr>
      </w:pPr>
      <w:r>
        <w:rPr>
          <w:rFonts w:hint="eastAsia" w:ascii="仿宋" w:hAnsi="仿宋"/>
          <w:b/>
          <w:bCs/>
          <w:szCs w:val="28"/>
        </w:rPr>
        <w:t>3、加强师德师风宣传。</w:t>
      </w:r>
      <w:r>
        <w:rPr>
          <w:rFonts w:hint="eastAsia" w:ascii="仿宋" w:hAnsi="仿宋"/>
          <w:szCs w:val="28"/>
        </w:rPr>
        <w:t>学院建立了文化墙，建成了教师工作室，把培育良好师德师风作为学院文化建设的核心内容，将全国会计领军人才胡本源、李宇立，会计学学科带头人韩金红、姚文英，特聘教授靳庆鲁、夏立军作为全体教师学习的榜样。在教师工作室制作了“四有好老师”宣传板，大力宣传新时代师德要求，宣传优秀教师的典型事迹，营造尊师重教的良好氛围。</w:t>
      </w:r>
    </w:p>
    <w:p>
      <w:pPr>
        <w:autoSpaceDE w:val="0"/>
        <w:ind w:firstLine="562"/>
        <w:jc w:val="left"/>
        <w:rPr>
          <w:rFonts w:ascii="仿宋" w:hAnsi="仿宋"/>
          <w:color w:val="000000"/>
          <w:szCs w:val="28"/>
        </w:rPr>
      </w:pPr>
      <w:r>
        <w:rPr>
          <w:rFonts w:hint="eastAsia" w:ascii="仿宋" w:hAnsi="仿宋"/>
          <w:b/>
          <w:bCs/>
          <w:szCs w:val="28"/>
        </w:rPr>
        <w:t>4、持续加强教师培训。</w:t>
      </w:r>
      <w:r>
        <w:rPr>
          <w:rFonts w:hint="eastAsia" w:ascii="仿宋" w:hAnsi="仿宋"/>
          <w:szCs w:val="28"/>
        </w:rPr>
        <w:t>育人的关键是拥有一支过硬的师资队伍。长期以来，会计学院党委高度重视师资培训工作。</w:t>
      </w:r>
      <w:r>
        <w:rPr>
          <w:rFonts w:hint="eastAsia" w:ascii="仿宋" w:hAnsi="仿宋"/>
          <w:color w:val="000000"/>
          <w:szCs w:val="28"/>
        </w:rPr>
        <w:t>学院与山东浪潮公司举办智能财务高级师资研修班。10名教师参加内地培训。组织300余人次教师参加课程思政、雨课堂等各类专业技能培训。同时，学院购置网络软件组织全体教师参加会计业务知识培训，收到好的效果，提升了教师的业务能力。</w:t>
      </w:r>
    </w:p>
    <w:p>
      <w:pPr>
        <w:pStyle w:val="2"/>
        <w:ind w:left="560" w:firstLine="560"/>
      </w:pPr>
    </w:p>
    <w:p>
      <w:pPr>
        <w:pStyle w:val="2"/>
        <w:ind w:left="560" w:firstLine="560"/>
      </w:pPr>
    </w:p>
    <w:p>
      <w:pPr>
        <w:pStyle w:val="2"/>
        <w:ind w:left="560" w:firstLine="560"/>
      </w:pPr>
    </w:p>
    <w:tbl>
      <w:tblPr>
        <w:tblStyle w:val="9"/>
        <w:tblpPr w:leftFromText="180" w:rightFromText="180" w:vertAnchor="text" w:horzAnchor="page" w:tblpX="2012" w:tblpY="733"/>
        <w:tblOverlap w:val="never"/>
        <w:tblW w:w="8292" w:type="dxa"/>
        <w:tblInd w:w="0" w:type="dxa"/>
        <w:tblLayout w:type="fixed"/>
        <w:tblCellMar>
          <w:top w:w="0" w:type="dxa"/>
          <w:left w:w="108" w:type="dxa"/>
          <w:bottom w:w="0" w:type="dxa"/>
          <w:right w:w="108" w:type="dxa"/>
        </w:tblCellMar>
      </w:tblPr>
      <w:tblGrid>
        <w:gridCol w:w="454"/>
        <w:gridCol w:w="2943"/>
        <w:gridCol w:w="997"/>
        <w:gridCol w:w="709"/>
        <w:gridCol w:w="988"/>
        <w:gridCol w:w="425"/>
        <w:gridCol w:w="1776"/>
      </w:tblGrid>
      <w:tr>
        <w:tblPrEx>
          <w:tblLayout w:type="fixed"/>
          <w:tblCellMar>
            <w:top w:w="0" w:type="dxa"/>
            <w:left w:w="108" w:type="dxa"/>
            <w:bottom w:w="0" w:type="dxa"/>
            <w:right w:w="108" w:type="dxa"/>
          </w:tblCellMar>
        </w:tblPrEx>
        <w:trPr>
          <w:trHeight w:val="90" w:hRule="atLeast"/>
        </w:trPr>
        <w:tc>
          <w:tcPr>
            <w:tcW w:w="8292" w:type="dxa"/>
            <w:gridSpan w:val="7"/>
            <w:tcBorders>
              <w:bottom w:val="single" w:color="auto" w:sz="4" w:space="0"/>
            </w:tcBorders>
            <w:noWrap/>
            <w:vAlign w:val="center"/>
          </w:tcPr>
          <w:p>
            <w:pPr>
              <w:spacing w:before="81" w:line="240" w:lineRule="auto"/>
              <w:ind w:firstLine="560" w:firstLineChars="0"/>
              <w:jc w:val="center"/>
              <w:rPr>
                <w:rFonts w:ascii="仿宋" w:hAnsi="仿宋" w:cs="宋体"/>
                <w:b/>
                <w:bCs/>
                <w:sz w:val="21"/>
              </w:rPr>
            </w:pPr>
            <w:r>
              <w:rPr>
                <w:rFonts w:hint="eastAsia" w:ascii="仿宋" w:hAnsi="仿宋" w:cs="宋体"/>
                <w:b/>
                <w:bCs/>
                <w:szCs w:val="28"/>
              </w:rPr>
              <w:t>新疆财经大学会计学院2021年学科竞赛统计表</w:t>
            </w:r>
          </w:p>
        </w:tc>
      </w:tr>
      <w:tr>
        <w:tblPrEx>
          <w:tblLayout w:type="fixed"/>
          <w:tblCellMar>
            <w:top w:w="0" w:type="dxa"/>
            <w:left w:w="108" w:type="dxa"/>
            <w:bottom w:w="0" w:type="dxa"/>
            <w:right w:w="108" w:type="dxa"/>
          </w:tblCellMar>
        </w:tblPrEx>
        <w:trPr>
          <w:trHeight w:val="859" w:hRule="atLeast"/>
        </w:trPr>
        <w:tc>
          <w:tcPr>
            <w:tcW w:w="454" w:type="dxa"/>
            <w:tcBorders>
              <w:top w:val="single" w:color="auto"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hint="eastAsia" w:ascii="仿宋" w:hAnsi="仿宋" w:cs="宋体"/>
                <w:b/>
                <w:bCs/>
                <w:sz w:val="21"/>
              </w:rPr>
            </w:pPr>
            <w:r>
              <w:rPr>
                <w:rFonts w:hint="eastAsia" w:ascii="仿宋" w:hAnsi="仿宋" w:cs="宋体"/>
                <w:b/>
                <w:bCs/>
                <w:sz w:val="21"/>
              </w:rPr>
              <w:t>序号</w:t>
            </w:r>
          </w:p>
        </w:tc>
        <w:tc>
          <w:tcPr>
            <w:tcW w:w="2943" w:type="dxa"/>
            <w:tcBorders>
              <w:top w:val="single" w:color="auto"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hint="eastAsia" w:ascii="仿宋" w:hAnsi="仿宋" w:cs="宋体"/>
                <w:b/>
                <w:bCs/>
                <w:sz w:val="21"/>
              </w:rPr>
            </w:pPr>
            <w:r>
              <w:rPr>
                <w:rFonts w:hint="eastAsia" w:ascii="仿宋" w:hAnsi="仿宋" w:cs="宋体"/>
                <w:b/>
                <w:bCs/>
                <w:sz w:val="21"/>
              </w:rPr>
              <w:t>获奖项目名称</w:t>
            </w:r>
          </w:p>
        </w:tc>
        <w:tc>
          <w:tcPr>
            <w:tcW w:w="997" w:type="dxa"/>
            <w:tcBorders>
              <w:top w:val="single" w:color="auto"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hint="eastAsia" w:ascii="仿宋" w:hAnsi="仿宋" w:cs="宋体"/>
                <w:b/>
                <w:bCs/>
                <w:sz w:val="21"/>
              </w:rPr>
            </w:pPr>
            <w:r>
              <w:rPr>
                <w:rFonts w:hint="eastAsia" w:ascii="仿宋" w:hAnsi="仿宋" w:cs="宋体"/>
                <w:b/>
                <w:bCs/>
                <w:sz w:val="21"/>
              </w:rPr>
              <w:t>获奖时间</w:t>
            </w:r>
          </w:p>
        </w:tc>
        <w:tc>
          <w:tcPr>
            <w:tcW w:w="709" w:type="dxa"/>
            <w:tcBorders>
              <w:top w:val="single" w:color="auto"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hint="eastAsia" w:ascii="仿宋" w:hAnsi="仿宋" w:cs="宋体"/>
                <w:b/>
                <w:bCs/>
                <w:sz w:val="21"/>
              </w:rPr>
            </w:pPr>
            <w:r>
              <w:rPr>
                <w:rFonts w:hint="eastAsia" w:ascii="仿宋" w:hAnsi="仿宋" w:cs="宋体"/>
                <w:b/>
                <w:bCs/>
                <w:sz w:val="21"/>
              </w:rPr>
              <w:t>获奖级别</w:t>
            </w:r>
          </w:p>
        </w:tc>
        <w:tc>
          <w:tcPr>
            <w:tcW w:w="988" w:type="dxa"/>
            <w:tcBorders>
              <w:top w:val="single" w:color="auto"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hint="eastAsia" w:ascii="仿宋" w:hAnsi="仿宋" w:cs="宋体"/>
                <w:b/>
                <w:bCs/>
                <w:sz w:val="21"/>
              </w:rPr>
            </w:pPr>
            <w:r>
              <w:rPr>
                <w:rFonts w:hint="eastAsia" w:ascii="仿宋" w:hAnsi="仿宋" w:cs="宋体"/>
                <w:b/>
                <w:bCs/>
                <w:sz w:val="21"/>
              </w:rPr>
              <w:t>获奖等级</w:t>
            </w:r>
          </w:p>
        </w:tc>
        <w:tc>
          <w:tcPr>
            <w:tcW w:w="425" w:type="dxa"/>
            <w:tcBorders>
              <w:top w:val="single" w:color="auto"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hint="eastAsia" w:ascii="仿宋" w:hAnsi="仿宋" w:cs="宋体"/>
                <w:b/>
                <w:bCs/>
                <w:sz w:val="21"/>
              </w:rPr>
            </w:pPr>
            <w:r>
              <w:rPr>
                <w:rFonts w:hint="eastAsia" w:ascii="仿宋" w:hAnsi="仿宋" w:cs="宋体"/>
                <w:b/>
                <w:bCs/>
                <w:sz w:val="21"/>
              </w:rPr>
              <w:t>获奖性质</w:t>
            </w:r>
          </w:p>
        </w:tc>
        <w:tc>
          <w:tcPr>
            <w:tcW w:w="1776" w:type="dxa"/>
            <w:tcBorders>
              <w:top w:val="single" w:color="auto" w:sz="4" w:space="0"/>
              <w:left w:val="single" w:color="000000" w:sz="4" w:space="0"/>
              <w:bottom w:val="single" w:color="000000" w:sz="4" w:space="0"/>
              <w:right w:val="single" w:color="000000" w:sz="4" w:space="0"/>
            </w:tcBorders>
            <w:vAlign w:val="center"/>
          </w:tcPr>
          <w:p>
            <w:pPr>
              <w:spacing w:before="81" w:line="240" w:lineRule="auto"/>
              <w:ind w:firstLine="0" w:firstLineChars="0"/>
              <w:jc w:val="center"/>
              <w:rPr>
                <w:rFonts w:hint="eastAsia" w:ascii="仿宋" w:hAnsi="仿宋" w:cs="宋体"/>
                <w:b/>
                <w:bCs/>
                <w:sz w:val="21"/>
              </w:rPr>
            </w:pPr>
            <w:r>
              <w:rPr>
                <w:rFonts w:hint="eastAsia" w:ascii="仿宋" w:hAnsi="仿宋" w:cs="宋体"/>
                <w:b/>
                <w:bCs/>
                <w:sz w:val="21"/>
              </w:rPr>
              <w:t>获奖人姓名</w:t>
            </w:r>
          </w:p>
        </w:tc>
      </w:tr>
      <w:tr>
        <w:tblPrEx>
          <w:tblLayout w:type="fixed"/>
          <w:tblCellMar>
            <w:top w:w="0" w:type="dxa"/>
            <w:left w:w="108" w:type="dxa"/>
            <w:bottom w:w="0" w:type="dxa"/>
            <w:right w:w="108" w:type="dxa"/>
          </w:tblCellMar>
        </w:tblPrEx>
        <w:trPr>
          <w:trHeight w:val="785"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w:t>
            </w:r>
          </w:p>
        </w:tc>
        <w:tc>
          <w:tcPr>
            <w:tcW w:w="2943"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IMA管理会计案例大赛</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w:t>
            </w:r>
          </w:p>
        </w:tc>
        <w:tc>
          <w:tcPr>
            <w:tcW w:w="98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西北赛区优秀奖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张亚男</w:t>
            </w:r>
          </w:p>
        </w:tc>
      </w:tr>
      <w:tr>
        <w:tblPrEx>
          <w:tblLayout w:type="fixed"/>
          <w:tblCellMar>
            <w:top w:w="0" w:type="dxa"/>
            <w:left w:w="108" w:type="dxa"/>
            <w:bottom w:w="0" w:type="dxa"/>
            <w:right w:w="108" w:type="dxa"/>
          </w:tblCellMar>
        </w:tblPrEx>
        <w:trPr>
          <w:trHeight w:val="8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全国大学生英语竞赛A类</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2021.05</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二等奖</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凯丽比努尔·伊斯坎代尔</w:t>
            </w:r>
          </w:p>
        </w:tc>
      </w:tr>
      <w:tr>
        <w:tblPrEx>
          <w:tblLayout w:type="fixed"/>
          <w:tblCellMar>
            <w:top w:w="0" w:type="dxa"/>
            <w:left w:w="108" w:type="dxa"/>
            <w:bottom w:w="0" w:type="dxa"/>
            <w:right w:w="108" w:type="dxa"/>
          </w:tblCellMar>
        </w:tblPrEx>
        <w:trPr>
          <w:trHeight w:val="47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3</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全国大学生英语竞赛A类</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2021.05</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二等奖</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冶永霞</w:t>
            </w:r>
          </w:p>
        </w:tc>
      </w:tr>
      <w:tr>
        <w:tblPrEx>
          <w:tblLayout w:type="fixed"/>
          <w:tblCellMar>
            <w:top w:w="0" w:type="dxa"/>
            <w:left w:w="108" w:type="dxa"/>
            <w:bottom w:w="0" w:type="dxa"/>
            <w:right w:w="108" w:type="dxa"/>
          </w:tblCellMar>
        </w:tblPrEx>
        <w:trPr>
          <w:trHeight w:val="595"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4</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全国大学生英语竞赛A类</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 xml:space="preserve">2021.05 </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二等奖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翟雨晨</w:t>
            </w:r>
          </w:p>
        </w:tc>
      </w:tr>
      <w:tr>
        <w:tblPrEx>
          <w:tblLayout w:type="fixed"/>
          <w:tblCellMar>
            <w:top w:w="0" w:type="dxa"/>
            <w:left w:w="108" w:type="dxa"/>
            <w:bottom w:w="0" w:type="dxa"/>
            <w:right w:w="108" w:type="dxa"/>
          </w:tblCellMar>
        </w:tblPrEx>
        <w:trPr>
          <w:trHeight w:val="564" w:hRule="atLeast"/>
        </w:trPr>
        <w:tc>
          <w:tcPr>
            <w:tcW w:w="454" w:type="dxa"/>
            <w:vMerge w:val="restart"/>
            <w:tcBorders>
              <w:top w:val="single" w:color="000000" w:sz="4" w:space="0"/>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5</w:t>
            </w:r>
          </w:p>
        </w:tc>
        <w:tc>
          <w:tcPr>
            <w:tcW w:w="2943"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第七届中国Mpacc案例大赛</w:t>
            </w:r>
          </w:p>
        </w:tc>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2021.06</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省部级</w:t>
            </w: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三等奖</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团体</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迟玉姣</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翟雨晨</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谢晗程</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田丰荣</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李锦岳</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第七届中国Mpacc案例大赛</w:t>
            </w:r>
          </w:p>
        </w:tc>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2021.06</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省部级</w:t>
            </w: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三等奖</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团体</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何孟婷</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付文馨</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张安然</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方佳惠</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6</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A类二等奖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叶杨杨</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7</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A类三等奖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任敏</w:t>
            </w:r>
          </w:p>
        </w:tc>
      </w:tr>
      <w:tr>
        <w:tblPrEx>
          <w:tblLayout w:type="fixed"/>
          <w:tblCellMar>
            <w:top w:w="0" w:type="dxa"/>
            <w:left w:w="108" w:type="dxa"/>
            <w:bottom w:w="0" w:type="dxa"/>
            <w:right w:w="108" w:type="dxa"/>
          </w:tblCellMar>
        </w:tblPrEx>
        <w:trPr>
          <w:trHeight w:val="635" w:hRule="atLeast"/>
        </w:trPr>
        <w:tc>
          <w:tcPr>
            <w:tcW w:w="454" w:type="dxa"/>
            <w:vMerge w:val="restart"/>
            <w:tcBorders>
              <w:top w:val="single" w:color="000000" w:sz="4" w:space="0"/>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8</w:t>
            </w:r>
          </w:p>
        </w:tc>
        <w:tc>
          <w:tcPr>
            <w:tcW w:w="294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第七届中国Mpacc案例大赛</w:t>
            </w:r>
          </w:p>
        </w:tc>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 xml:space="preserve">2021.06 </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校内一等奖、西北赛区三等奖、全国优胜奖</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团体</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谢佳栩</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冯瑞</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9</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A类二等奖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王冰玉</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10</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A类三等奖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黄铭敏</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11</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全国大学生英语竞赛</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 xml:space="preserve">2021.05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A类三等奖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韩怡</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12</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全国大学生交通安全知识竞赛</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2021.03</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省部级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校区一等奖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韩怡</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13</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第七届中国Mpacc案例大赛</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初赛优胜奖，校级一等奖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团体</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那迪拉·居来提</w:t>
            </w:r>
          </w:p>
        </w:tc>
      </w:tr>
      <w:tr>
        <w:tblPrEx>
          <w:tblLayout w:type="fixed"/>
          <w:tblCellMar>
            <w:top w:w="0" w:type="dxa"/>
            <w:left w:w="108" w:type="dxa"/>
            <w:bottom w:w="0" w:type="dxa"/>
            <w:right w:w="108" w:type="dxa"/>
          </w:tblCellMar>
        </w:tblPrEx>
        <w:trPr>
          <w:trHeight w:val="635" w:hRule="atLeast"/>
        </w:trPr>
        <w:tc>
          <w:tcPr>
            <w:tcW w:w="454" w:type="dxa"/>
            <w:vMerge w:val="restart"/>
            <w:tcBorders>
              <w:top w:val="single" w:color="000000" w:sz="4" w:space="0"/>
              <w:left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114</w:t>
            </w:r>
          </w:p>
        </w:tc>
        <w:tc>
          <w:tcPr>
            <w:tcW w:w="294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第七届中国Mpacc案例大赛</w:t>
            </w:r>
          </w:p>
        </w:tc>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 xml:space="preserve">2021.06 </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省部级</w:t>
            </w: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三等奖</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团体</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栗林娟</w:t>
            </w:r>
          </w:p>
        </w:tc>
      </w:tr>
      <w:tr>
        <w:tblPrEx>
          <w:tblLayout w:type="fixed"/>
          <w:tblCellMar>
            <w:top w:w="0" w:type="dxa"/>
            <w:left w:w="108" w:type="dxa"/>
            <w:bottom w:w="0" w:type="dxa"/>
            <w:right w:w="108" w:type="dxa"/>
          </w:tblCellMar>
        </w:tblPrEx>
        <w:trPr>
          <w:trHeight w:val="635" w:hRule="atLeast"/>
        </w:trPr>
        <w:tc>
          <w:tcPr>
            <w:tcW w:w="454" w:type="dxa"/>
            <w:vMerge w:val="continue"/>
            <w:tcBorders>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2943"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杨心悦</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115</w:t>
            </w:r>
          </w:p>
        </w:tc>
        <w:tc>
          <w:tcPr>
            <w:tcW w:w="2943"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第七届中国Mpacc案例大赛</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省部级</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三等奖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团体</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徐正月</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116</w:t>
            </w:r>
          </w:p>
        </w:tc>
        <w:tc>
          <w:tcPr>
            <w:tcW w:w="2943"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IMA-复旦大学(第十届)校园管理会计案例大赛</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2021.03</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西北赛区优秀奖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杨心悦</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117</w:t>
            </w:r>
          </w:p>
        </w:tc>
        <w:tc>
          <w:tcPr>
            <w:tcW w:w="2943"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IMA-复旦大学(第十届)校园管理会计案例大赛</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2021.03</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西北赛区优秀奖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徐正月</w:t>
            </w:r>
          </w:p>
        </w:tc>
      </w:tr>
      <w:tr>
        <w:tblPrEx>
          <w:tblLayout w:type="fixed"/>
          <w:tblCellMar>
            <w:top w:w="0" w:type="dxa"/>
            <w:left w:w="108" w:type="dxa"/>
            <w:bottom w:w="0" w:type="dxa"/>
            <w:right w:w="108" w:type="dxa"/>
          </w:tblCellMar>
        </w:tblPrEx>
        <w:trPr>
          <w:trHeight w:val="94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118</w:t>
            </w:r>
          </w:p>
        </w:tc>
        <w:tc>
          <w:tcPr>
            <w:tcW w:w="2943"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IMA-复旦大学(第十届)校园管理会计案例大赛</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2021.03</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国家级</w:t>
            </w:r>
          </w:p>
        </w:tc>
        <w:tc>
          <w:tcPr>
            <w:tcW w:w="988"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西北赛区优秀奖</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个人</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spacing w:before="20" w:line="240" w:lineRule="auto"/>
              <w:ind w:left="6" w:firstLine="0" w:firstLineChars="0"/>
              <w:jc w:val="center"/>
              <w:rPr>
                <w:rFonts w:hint="eastAsia" w:ascii="仿宋" w:hAnsi="仿宋" w:cs="宋体"/>
                <w:sz w:val="21"/>
              </w:rPr>
            </w:pPr>
            <w:r>
              <w:rPr>
                <w:rFonts w:hint="eastAsia" w:ascii="仿宋" w:hAnsi="仿宋" w:cs="宋体"/>
                <w:sz w:val="21"/>
              </w:rPr>
              <w:t>栗林娟</w:t>
            </w:r>
          </w:p>
        </w:tc>
      </w:tr>
    </w:tbl>
    <w:p>
      <w:pPr>
        <w:pStyle w:val="2"/>
        <w:ind w:left="0" w:leftChars="0" w:firstLine="0" w:firstLineChars="0"/>
      </w:pPr>
    </w:p>
    <w:p>
      <w:pPr>
        <w:pStyle w:val="13"/>
        <w:spacing w:before="0" w:beforeAutospacing="0" w:after="0" w:afterAutospacing="0"/>
        <w:ind w:left="0" w:leftChars="0" w:firstLine="0" w:firstLineChars="0"/>
        <w:jc w:val="left"/>
        <w:rPr>
          <w:rFonts w:ascii="宋体" w:hAnsi="宋体" w:eastAsia="宋体"/>
          <w:b/>
          <w:bCs/>
          <w:kern w:val="0"/>
          <w:szCs w:val="28"/>
        </w:rPr>
      </w:pPr>
      <w:r>
        <w:rPr>
          <w:rFonts w:hint="eastAsia" w:ascii="宋体" w:hAnsi="宋体" w:eastAsia="宋体"/>
          <w:b/>
          <w:bCs/>
          <w:kern w:val="0"/>
          <w:szCs w:val="28"/>
        </w:rPr>
        <w:t>Ⅲ-4</w:t>
      </w:r>
      <w:r>
        <w:rPr>
          <w:rFonts w:ascii="宋体" w:hAnsi="宋体" w:eastAsia="宋体"/>
          <w:b/>
          <w:bCs/>
          <w:kern w:val="0"/>
          <w:szCs w:val="28"/>
        </w:rPr>
        <w:t xml:space="preserve"> </w:t>
      </w:r>
      <w:r>
        <w:rPr>
          <w:rFonts w:hint="eastAsia" w:ascii="宋体" w:hAnsi="宋体" w:eastAsia="宋体"/>
          <w:b/>
          <w:bCs/>
          <w:kern w:val="0"/>
          <w:szCs w:val="28"/>
        </w:rPr>
        <w:t>学术训练情况</w:t>
      </w:r>
    </w:p>
    <w:p>
      <w:pPr>
        <w:autoSpaceDE w:val="0"/>
        <w:ind w:firstLine="560"/>
        <w:jc w:val="left"/>
        <w:rPr>
          <w:rFonts w:ascii="仿宋" w:hAnsi="仿宋"/>
          <w:szCs w:val="28"/>
        </w:rPr>
      </w:pPr>
      <w:r>
        <w:rPr>
          <w:rFonts w:hint="eastAsia" w:ascii="仿宋" w:hAnsi="仿宋"/>
          <w:szCs w:val="28"/>
        </w:rPr>
        <w:t>课程训练：开设会计研究方法论、论文写作、案例开发与写作等学术训练课程。训练学生完成选题、文献检索、案例撰写、论文写作等论文写作关键环节，加强学生学术训练，提升科研与创新能力。</w:t>
      </w:r>
    </w:p>
    <w:p>
      <w:pPr>
        <w:autoSpaceDE w:val="0"/>
        <w:ind w:firstLine="560"/>
        <w:jc w:val="left"/>
        <w:rPr>
          <w:rFonts w:ascii="仿宋" w:hAnsi="仿宋"/>
          <w:szCs w:val="28"/>
        </w:rPr>
      </w:pPr>
      <w:r>
        <w:rPr>
          <w:rFonts w:hint="eastAsia" w:ascii="仿宋" w:hAnsi="仿宋"/>
          <w:szCs w:val="28"/>
        </w:rPr>
        <w:t xml:space="preserve">导师组科研指导：学位点每2周一次开展科研指导和学术训练，学术沙龙等，加强导师与学生的日常交流。 </w:t>
      </w:r>
    </w:p>
    <w:p>
      <w:pPr>
        <w:autoSpaceDE w:val="0"/>
        <w:ind w:firstLine="560"/>
        <w:jc w:val="left"/>
        <w:rPr>
          <w:rFonts w:ascii="仿宋" w:hAnsi="仿宋"/>
          <w:kern w:val="0"/>
          <w:szCs w:val="28"/>
        </w:rPr>
      </w:pPr>
      <w:r>
        <w:rPr>
          <w:rFonts w:hint="eastAsia" w:ascii="仿宋" w:hAnsi="仿宋"/>
          <w:szCs w:val="28"/>
        </w:rPr>
        <w:t>学生学术研讨： 1个月举办一次学术讲座，一学期至少举办一次关于学术诚信与职业道德讲座，学术交流活动逐步规范化。</w:t>
      </w:r>
    </w:p>
    <w:p>
      <w:pPr>
        <w:pStyle w:val="13"/>
        <w:spacing w:before="0" w:beforeAutospacing="0" w:after="0" w:afterAutospacing="0"/>
        <w:ind w:left="0" w:leftChars="0" w:firstLine="0" w:firstLineChars="0"/>
        <w:jc w:val="left"/>
        <w:rPr>
          <w:rFonts w:ascii="宋体" w:hAnsi="宋体" w:eastAsia="宋体"/>
          <w:b/>
          <w:bCs/>
          <w:kern w:val="0"/>
          <w:szCs w:val="28"/>
        </w:rPr>
      </w:pPr>
      <w:r>
        <w:rPr>
          <w:rFonts w:hint="eastAsia" w:ascii="宋体" w:hAnsi="宋体" w:eastAsia="宋体"/>
          <w:b/>
          <w:bCs/>
          <w:kern w:val="0"/>
          <w:szCs w:val="28"/>
        </w:rPr>
        <w:t>Ⅲ-5</w:t>
      </w:r>
      <w:r>
        <w:rPr>
          <w:rFonts w:ascii="宋体" w:hAnsi="宋体" w:eastAsia="宋体"/>
          <w:b/>
          <w:bCs/>
          <w:kern w:val="0"/>
          <w:szCs w:val="28"/>
        </w:rPr>
        <w:t xml:space="preserve"> </w:t>
      </w:r>
      <w:r>
        <w:rPr>
          <w:rFonts w:hint="eastAsia" w:ascii="宋体" w:hAnsi="宋体" w:eastAsia="宋体"/>
          <w:b/>
          <w:bCs/>
          <w:kern w:val="0"/>
          <w:szCs w:val="28"/>
        </w:rPr>
        <w:t>学术交流情况</w:t>
      </w:r>
    </w:p>
    <w:p>
      <w:pPr>
        <w:autoSpaceDE w:val="0"/>
        <w:ind w:firstLine="560"/>
        <w:jc w:val="left"/>
        <w:rPr>
          <w:rFonts w:ascii="仿宋" w:hAnsi="仿宋"/>
          <w:szCs w:val="28"/>
        </w:rPr>
      </w:pPr>
      <w:r>
        <w:rPr>
          <w:rFonts w:hint="eastAsia" w:ascii="仿宋" w:hAnsi="仿宋"/>
          <w:szCs w:val="28"/>
        </w:rPr>
        <w:t>为加强师生与国内外科研人员间的学术交流，学位点积极克服疫情影响，秉承“请进来、走出去”的原则，聚焦学科前沿，邀请全国高端会计人才来校讲学。2021年，学位点共邀请15位专家举办16场学术报告；</w:t>
      </w:r>
      <w:r>
        <w:rPr>
          <w:rFonts w:ascii="仿宋" w:hAnsi="仿宋"/>
          <w:szCs w:val="28"/>
        </w:rPr>
        <w:t>10</w:t>
      </w:r>
      <w:r>
        <w:rPr>
          <w:rFonts w:hint="eastAsia" w:ascii="仿宋" w:hAnsi="仿宋"/>
          <w:szCs w:val="28"/>
        </w:rPr>
        <w:t>人次青年教师到内地高校参加学术会议和学术交流，参加线上、线下各类学术交流与专业技能培训</w:t>
      </w:r>
      <w:r>
        <w:rPr>
          <w:rFonts w:ascii="仿宋" w:hAnsi="仿宋"/>
          <w:szCs w:val="28"/>
        </w:rPr>
        <w:t>406</w:t>
      </w:r>
      <w:r>
        <w:rPr>
          <w:rFonts w:hint="eastAsia" w:ascii="仿宋" w:hAnsi="仿宋"/>
          <w:szCs w:val="28"/>
        </w:rPr>
        <w:t>人次，不断提升专业素养与科研水平。</w:t>
      </w:r>
    </w:p>
    <w:tbl>
      <w:tblPr>
        <w:tblStyle w:val="9"/>
        <w:tblW w:w="8306" w:type="dxa"/>
        <w:tblInd w:w="0" w:type="dxa"/>
        <w:tblLayout w:type="fixed"/>
        <w:tblCellMar>
          <w:top w:w="0" w:type="dxa"/>
          <w:left w:w="108" w:type="dxa"/>
          <w:bottom w:w="0" w:type="dxa"/>
          <w:right w:w="108" w:type="dxa"/>
        </w:tblCellMar>
      </w:tblPr>
      <w:tblGrid>
        <w:gridCol w:w="709"/>
        <w:gridCol w:w="1364"/>
        <w:gridCol w:w="2789"/>
        <w:gridCol w:w="1042"/>
        <w:gridCol w:w="2402"/>
      </w:tblGrid>
      <w:tr>
        <w:tblPrEx>
          <w:tblLayout w:type="fixed"/>
          <w:tblCellMar>
            <w:top w:w="0" w:type="dxa"/>
            <w:left w:w="108" w:type="dxa"/>
            <w:bottom w:w="0" w:type="dxa"/>
            <w:right w:w="108" w:type="dxa"/>
          </w:tblCellMar>
        </w:tblPrEx>
        <w:trPr>
          <w:trHeight w:val="420" w:hRule="atLeast"/>
        </w:trPr>
        <w:tc>
          <w:tcPr>
            <w:tcW w:w="8306" w:type="dxa"/>
            <w:gridSpan w:val="5"/>
            <w:tcBorders>
              <w:top w:val="nil"/>
              <w:left w:val="nil"/>
              <w:bottom w:val="nil"/>
              <w:right w:val="nil"/>
            </w:tcBorders>
            <w:noWrap/>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会计学院2021年研究生讲座汇总</w:t>
            </w:r>
          </w:p>
        </w:tc>
      </w:tr>
      <w:tr>
        <w:tblPrEx>
          <w:tblLayout w:type="fixed"/>
          <w:tblCellMar>
            <w:top w:w="0" w:type="dxa"/>
            <w:left w:w="108" w:type="dxa"/>
            <w:bottom w:w="0" w:type="dxa"/>
            <w:right w:w="108" w:type="dxa"/>
          </w:tblCellMar>
        </w:tblPrEx>
        <w:trPr>
          <w:trHeight w:val="463"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b/>
                <w:bCs/>
                <w:color w:val="000000"/>
                <w:sz w:val="21"/>
              </w:rPr>
            </w:pPr>
            <w:r>
              <w:rPr>
                <w:rFonts w:hint="eastAsia" w:ascii="仿宋" w:hAnsi="仿宋" w:cs="宋体"/>
                <w:b/>
                <w:bCs/>
                <w:color w:val="000000"/>
                <w:kern w:val="0"/>
                <w:sz w:val="21"/>
              </w:rPr>
              <w:t>序号</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b/>
                <w:bCs/>
                <w:color w:val="000000"/>
                <w:sz w:val="21"/>
              </w:rPr>
            </w:pPr>
            <w:r>
              <w:rPr>
                <w:rFonts w:hint="eastAsia" w:ascii="仿宋" w:hAnsi="仿宋" w:cs="宋体"/>
                <w:b/>
                <w:bCs/>
                <w:color w:val="000000"/>
                <w:kern w:val="0"/>
                <w:sz w:val="21"/>
              </w:rPr>
              <w:t>时间</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宋体"/>
                <w:b/>
                <w:bCs/>
                <w:color w:val="000000"/>
                <w:sz w:val="21"/>
              </w:rPr>
            </w:pPr>
            <w:r>
              <w:rPr>
                <w:rFonts w:hint="eastAsia" w:ascii="仿宋" w:hAnsi="仿宋" w:cs="宋体"/>
                <w:b/>
                <w:bCs/>
                <w:color w:val="000000"/>
                <w:kern w:val="0"/>
                <w:sz w:val="21"/>
              </w:rPr>
              <w:t>讲座题目</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b/>
                <w:bCs/>
                <w:color w:val="000000"/>
                <w:sz w:val="21"/>
              </w:rPr>
            </w:pPr>
            <w:r>
              <w:rPr>
                <w:rFonts w:hint="eastAsia" w:ascii="仿宋" w:hAnsi="仿宋" w:cs="宋体"/>
                <w:b/>
                <w:bCs/>
                <w:color w:val="000000"/>
                <w:kern w:val="0"/>
                <w:sz w:val="21"/>
              </w:rPr>
              <w:t>主讲人</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宋体"/>
                <w:b/>
                <w:bCs/>
                <w:color w:val="000000"/>
                <w:sz w:val="21"/>
              </w:rPr>
            </w:pPr>
            <w:r>
              <w:rPr>
                <w:rFonts w:hint="eastAsia" w:ascii="仿宋" w:hAnsi="仿宋" w:cs="宋体"/>
                <w:b/>
                <w:bCs/>
                <w:color w:val="000000"/>
                <w:kern w:val="0"/>
                <w:sz w:val="21"/>
              </w:rPr>
              <w:t>主讲人简介</w:t>
            </w:r>
          </w:p>
        </w:tc>
      </w:tr>
      <w:tr>
        <w:tblPrEx>
          <w:tblLayout w:type="fixed"/>
          <w:tblCellMar>
            <w:top w:w="0" w:type="dxa"/>
            <w:left w:w="108" w:type="dxa"/>
            <w:bottom w:w="0" w:type="dxa"/>
            <w:right w:w="108" w:type="dxa"/>
          </w:tblCellMar>
        </w:tblPrEx>
        <w:trPr>
          <w:trHeight w:val="509"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2021.12.15</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案例开发与写作</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龚巧莉</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新疆财经大学会计学院 教授</w:t>
            </w:r>
          </w:p>
        </w:tc>
      </w:tr>
      <w:tr>
        <w:tblPrEx>
          <w:tblLayout w:type="fixed"/>
          <w:tblCellMar>
            <w:top w:w="0" w:type="dxa"/>
            <w:left w:w="108" w:type="dxa"/>
            <w:bottom w:w="0" w:type="dxa"/>
            <w:right w:w="108" w:type="dxa"/>
          </w:tblCellMar>
        </w:tblPrEx>
        <w:trPr>
          <w:trHeight w:val="1155"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2021.11.3</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专业学位研究生学术诚信与创新能力培养系列讲座二——文献资源检索与利用——基于研究生新生视角</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杨雪梅</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新疆财经大学图书馆信息咨询部主任，副研究馆员</w:t>
            </w:r>
          </w:p>
        </w:tc>
      </w:tr>
      <w:tr>
        <w:tblPrEx>
          <w:tblLayout w:type="fixed"/>
          <w:tblCellMar>
            <w:top w:w="0" w:type="dxa"/>
            <w:left w:w="108" w:type="dxa"/>
            <w:bottom w:w="0" w:type="dxa"/>
            <w:right w:w="108"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3</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2021.11.3</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案例研究与开发方法</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吴荷青</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新疆财经大学会计学院 副教授</w:t>
            </w:r>
          </w:p>
        </w:tc>
      </w:tr>
      <w:tr>
        <w:tblPrEx>
          <w:tblLayout w:type="fixed"/>
          <w:tblCellMar>
            <w:top w:w="0" w:type="dxa"/>
            <w:left w:w="108" w:type="dxa"/>
            <w:bottom w:w="0" w:type="dxa"/>
            <w:right w:w="108" w:type="dxa"/>
          </w:tblCellMar>
        </w:tblPrEx>
        <w:trPr>
          <w:trHeight w:val="111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4</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2021.10.27</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专业学位研究生学术诚信与创新能力培养系列讲座一——恪守学术道德 践行科研诚信</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陈维青</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新疆财经大学会计学院副院长、教授</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5</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2021.9.29</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金融强监管的实体经济效应研究</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李青原</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武汉大学经济与管理学院教授（二级）、经济与管理学院副院长、哥伦比亚大学访问学者</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6</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2019.6.18</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IFRS最新进展</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刘婷</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北京工商大学商学院国际交流与认证办公室主任、会计系党委书记、副教授、研究生导师</w:t>
            </w:r>
          </w:p>
        </w:tc>
      </w:tr>
      <w:tr>
        <w:tblPrEx>
          <w:tblLayout w:type="fixed"/>
          <w:tblCellMar>
            <w:top w:w="0" w:type="dxa"/>
            <w:left w:w="108" w:type="dxa"/>
            <w:bottom w:w="0" w:type="dxa"/>
            <w:right w:w="108" w:type="dxa"/>
          </w:tblCellMar>
        </w:tblPrEx>
        <w:trPr>
          <w:trHeight w:val="1165"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7</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2021.6.18</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会计学术能力养成与职业生涯规划</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刘行</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东北财经大学会计学院教授、博士生导师、副院长、教育部 2019 年度青年长江学者</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8</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2021.6.18</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市场监管与个人声誉机制效应</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王春飞</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中央财经大学会计学院副教授、北京大学光华管理学院博士、国家审计署/中央党校博士后</w:t>
            </w:r>
          </w:p>
        </w:tc>
      </w:tr>
      <w:tr>
        <w:tblPrEx>
          <w:tblLayout w:type="fixed"/>
          <w:tblCellMar>
            <w:top w:w="0" w:type="dxa"/>
            <w:left w:w="108" w:type="dxa"/>
            <w:bottom w:w="0" w:type="dxa"/>
            <w:right w:w="108" w:type="dxa"/>
          </w:tblCellMar>
        </w:tblPrEx>
        <w:trPr>
          <w:trHeight w:val="28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9</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2021.6.18</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会计文本缝隙在会计研究中的应用</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石桂峰</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上海交通大学安泰管理学院会计系副教授、博士生导师</w:t>
            </w:r>
          </w:p>
        </w:tc>
      </w:tr>
      <w:tr>
        <w:tblPrEx>
          <w:tblLayout w:type="fixed"/>
          <w:tblCellMar>
            <w:top w:w="0" w:type="dxa"/>
            <w:left w:w="108" w:type="dxa"/>
            <w:bottom w:w="0" w:type="dxa"/>
            <w:right w:w="108" w:type="dxa"/>
          </w:tblCellMar>
        </w:tblPrEx>
        <w:trPr>
          <w:trHeight w:val="56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10</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2021.6.18</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司法典型判例与民营企业产权保护</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王新</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西南财经大学国际教育学院副院长、西南财经大学会计学院教授、博士生导师、注册会计师</w:t>
            </w:r>
          </w:p>
        </w:tc>
      </w:tr>
      <w:tr>
        <w:tblPrEx>
          <w:tblLayout w:type="fixed"/>
          <w:tblCellMar>
            <w:top w:w="0" w:type="dxa"/>
            <w:left w:w="108" w:type="dxa"/>
            <w:bottom w:w="0" w:type="dxa"/>
            <w:right w:w="108" w:type="dxa"/>
          </w:tblCellMar>
        </w:tblPrEx>
        <w:trPr>
          <w:trHeight w:val="28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11</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2021.6.17</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风险投资“分心”与企业掏空行为</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潘越</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厦门大学经济学院金融系教授、博士生导师、管理学博士</w:t>
            </w:r>
          </w:p>
        </w:tc>
      </w:tr>
      <w:tr>
        <w:tblPrEx>
          <w:tblLayout w:type="fixed"/>
          <w:tblCellMar>
            <w:top w:w="0" w:type="dxa"/>
            <w:left w:w="108" w:type="dxa"/>
            <w:bottom w:w="0" w:type="dxa"/>
            <w:right w:w="108" w:type="dxa"/>
          </w:tblCellMar>
        </w:tblPrEx>
        <w:trPr>
          <w:trHeight w:val="28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12</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2021.6.17</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产融结合、治理镶嵌与企业绩效</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郝颖</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北京师范大学教授、博士、博士生导师</w:t>
            </w:r>
          </w:p>
        </w:tc>
      </w:tr>
      <w:tr>
        <w:tblPrEx>
          <w:tblLayout w:type="fixed"/>
          <w:tblCellMar>
            <w:top w:w="0" w:type="dxa"/>
            <w:left w:w="108" w:type="dxa"/>
            <w:bottom w:w="0" w:type="dxa"/>
            <w:right w:w="108" w:type="dxa"/>
          </w:tblCellMar>
        </w:tblPrEx>
        <w:trPr>
          <w:trHeight w:val="280" w:hRule="atLeast"/>
        </w:trPr>
        <w:tc>
          <w:tcPr>
            <w:tcW w:w="709" w:type="dxa"/>
            <w:vMerge w:val="restart"/>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13</w:t>
            </w:r>
          </w:p>
        </w:tc>
        <w:tc>
          <w:tcPr>
            <w:tcW w:w="1364" w:type="dxa"/>
            <w:vMerge w:val="restart"/>
            <w:tcBorders>
              <w:top w:val="nil"/>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2021.6.17</w:t>
            </w:r>
          </w:p>
        </w:tc>
        <w:tc>
          <w:tcPr>
            <w:tcW w:w="2789" w:type="dxa"/>
            <w:vMerge w:val="restart"/>
            <w:tcBorders>
              <w:top w:val="nil"/>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科研课题申报交流</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郝颖</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北京师范大学教授、博士、博士生导师</w:t>
            </w:r>
          </w:p>
        </w:tc>
      </w:tr>
      <w:tr>
        <w:tblPrEx>
          <w:tblLayout w:type="fixed"/>
          <w:tblCellMar>
            <w:top w:w="0" w:type="dxa"/>
            <w:left w:w="108" w:type="dxa"/>
            <w:bottom w:w="0" w:type="dxa"/>
            <w:right w:w="108" w:type="dxa"/>
          </w:tblCellMar>
        </w:tblPrEx>
        <w:trPr>
          <w:trHeight w:val="28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1364"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2789"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潘越</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厦门大学经济学院金融系教授、博士生导师、管理学博士</w:t>
            </w:r>
          </w:p>
        </w:tc>
      </w:tr>
      <w:tr>
        <w:tblPrEx>
          <w:tblLayout w:type="fixed"/>
          <w:tblCellMar>
            <w:top w:w="0" w:type="dxa"/>
            <w:left w:w="108" w:type="dxa"/>
            <w:bottom w:w="0" w:type="dxa"/>
            <w:right w:w="108" w:type="dxa"/>
          </w:tblCellMar>
        </w:tblPrEx>
        <w:trPr>
          <w:trHeight w:val="56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1364"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2789"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王春飞</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中央财经大学会计学院副教授、北京大学光华管理学院博士、国家审计署/中央党校博士后</w:t>
            </w:r>
          </w:p>
        </w:tc>
      </w:tr>
      <w:tr>
        <w:tblPrEx>
          <w:tblLayout w:type="fixed"/>
          <w:tblCellMar>
            <w:top w:w="0" w:type="dxa"/>
            <w:left w:w="108" w:type="dxa"/>
            <w:bottom w:w="0" w:type="dxa"/>
            <w:right w:w="108" w:type="dxa"/>
          </w:tblCellMar>
        </w:tblPrEx>
        <w:trPr>
          <w:trHeight w:val="560" w:hRule="atLeast"/>
        </w:trPr>
        <w:tc>
          <w:tcPr>
            <w:tcW w:w="709" w:type="dxa"/>
            <w:vMerge w:val="restart"/>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14</w:t>
            </w:r>
          </w:p>
        </w:tc>
        <w:tc>
          <w:tcPr>
            <w:tcW w:w="1364" w:type="dxa"/>
            <w:vMerge w:val="restart"/>
            <w:tcBorders>
              <w:top w:val="nil"/>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2021.6.17</w:t>
            </w:r>
          </w:p>
        </w:tc>
        <w:tc>
          <w:tcPr>
            <w:tcW w:w="2789" w:type="dxa"/>
            <w:vMerge w:val="restart"/>
            <w:tcBorders>
              <w:top w:val="nil"/>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MPAcc人才培养改革创新研究</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刘婷</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北京工商大学商学院国际交流与认证办公室主任、会计系党委书记、副教授、研究生导师</w:t>
            </w:r>
          </w:p>
        </w:tc>
      </w:tr>
      <w:tr>
        <w:tblPrEx>
          <w:tblLayout w:type="fixed"/>
          <w:tblCellMar>
            <w:top w:w="0" w:type="dxa"/>
            <w:left w:w="108" w:type="dxa"/>
            <w:bottom w:w="0" w:type="dxa"/>
            <w:right w:w="108" w:type="dxa"/>
          </w:tblCellMar>
        </w:tblPrEx>
        <w:trPr>
          <w:trHeight w:val="28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1364"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2789"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石桂峰</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上海交通大学安泰管理学院会计系副教授、博士生导师</w:t>
            </w:r>
          </w:p>
        </w:tc>
      </w:tr>
      <w:tr>
        <w:tblPrEx>
          <w:tblLayout w:type="fixed"/>
          <w:tblCellMar>
            <w:top w:w="0" w:type="dxa"/>
            <w:left w:w="108" w:type="dxa"/>
            <w:bottom w:w="0" w:type="dxa"/>
            <w:right w:w="108" w:type="dxa"/>
          </w:tblCellMar>
        </w:tblPrEx>
        <w:trPr>
          <w:trHeight w:val="280" w:hRule="atLeast"/>
        </w:trPr>
        <w:tc>
          <w:tcPr>
            <w:tcW w:w="709" w:type="dxa"/>
            <w:vMerge w:val="restart"/>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15</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2021.6.16</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工商管理案列开发与教学</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王少飞</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上海财经大学案例中心副主任、上海财经大学商学院院长助理、博士生导师</w:t>
            </w:r>
          </w:p>
        </w:tc>
      </w:tr>
      <w:tr>
        <w:tblPrEx>
          <w:tblLayout w:type="fixed"/>
          <w:tblCellMar>
            <w:top w:w="0" w:type="dxa"/>
            <w:left w:w="108" w:type="dxa"/>
            <w:bottom w:w="0" w:type="dxa"/>
            <w:right w:w="108" w:type="dxa"/>
          </w:tblCellMar>
        </w:tblPrEx>
        <w:trPr>
          <w:trHeight w:val="28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sz w:val="21"/>
              </w:rPr>
            </w:pP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2021.6.2</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会计职业道德与职业能力培养</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夏军民</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高级经济师、资深注册会计师、资产评估师</w:t>
            </w:r>
          </w:p>
        </w:tc>
      </w:tr>
      <w:tr>
        <w:tblPrEx>
          <w:tblLayout w:type="fixed"/>
          <w:tblCellMar>
            <w:top w:w="0" w:type="dxa"/>
            <w:left w:w="108" w:type="dxa"/>
            <w:bottom w:w="0" w:type="dxa"/>
            <w:right w:w="108" w:type="dxa"/>
          </w:tblCellMar>
        </w:tblPrEx>
        <w:trPr>
          <w:trHeight w:val="84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16</w:t>
            </w:r>
          </w:p>
        </w:tc>
        <w:tc>
          <w:tcPr>
            <w:tcW w:w="1364"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宋体"/>
                <w:color w:val="000000"/>
                <w:sz w:val="21"/>
              </w:rPr>
            </w:pPr>
            <w:r>
              <w:rPr>
                <w:rFonts w:hint="eastAsia" w:ascii="仿宋" w:hAnsi="仿宋" w:cs="宋体"/>
                <w:color w:val="000000"/>
                <w:kern w:val="0"/>
                <w:sz w:val="21"/>
              </w:rPr>
              <w:t>2021.1.6</w:t>
            </w:r>
          </w:p>
        </w:tc>
        <w:tc>
          <w:tcPr>
            <w:tcW w:w="2789"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经济制度与会计信息系列文献讲座六——实证会计理论：十年展望（Positive Accounting Theory: A Ten Year Perspective. ）</w:t>
            </w:r>
          </w:p>
        </w:tc>
        <w:tc>
          <w:tcPr>
            <w:tcW w:w="1042"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夏立军</w:t>
            </w:r>
          </w:p>
        </w:tc>
        <w:tc>
          <w:tcPr>
            <w:tcW w:w="240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textAlignment w:val="center"/>
              <w:rPr>
                <w:rFonts w:ascii="仿宋" w:hAnsi="仿宋" w:cs="宋体"/>
                <w:color w:val="000000"/>
                <w:sz w:val="21"/>
              </w:rPr>
            </w:pPr>
            <w:r>
              <w:rPr>
                <w:rFonts w:hint="eastAsia" w:ascii="仿宋" w:hAnsi="仿宋" w:cs="宋体"/>
                <w:color w:val="000000"/>
                <w:kern w:val="0"/>
                <w:sz w:val="21"/>
              </w:rPr>
              <w:t>上海交通大学教授、博士生导师、新疆财经大学特聘教授</w:t>
            </w:r>
          </w:p>
        </w:tc>
      </w:tr>
    </w:tbl>
    <w:p>
      <w:pPr>
        <w:pStyle w:val="13"/>
        <w:ind w:left="0" w:leftChars="0" w:firstLine="0" w:firstLineChars="0"/>
        <w:jc w:val="left"/>
        <w:rPr>
          <w:rFonts w:ascii="宋体" w:hAnsi="宋体" w:eastAsia="宋体"/>
          <w:b/>
          <w:bCs/>
          <w:kern w:val="0"/>
          <w:szCs w:val="28"/>
        </w:rPr>
      </w:pPr>
    </w:p>
    <w:p>
      <w:pPr>
        <w:pStyle w:val="13"/>
        <w:ind w:left="0" w:leftChars="0" w:firstLine="0" w:firstLineChars="0"/>
        <w:jc w:val="left"/>
        <w:rPr>
          <w:rFonts w:ascii="宋体" w:hAnsi="宋体" w:eastAsia="宋体"/>
          <w:b/>
          <w:bCs/>
          <w:kern w:val="0"/>
          <w:szCs w:val="28"/>
        </w:rPr>
      </w:pPr>
      <w:r>
        <w:rPr>
          <w:rFonts w:hint="eastAsia" w:ascii="宋体" w:hAnsi="宋体" w:eastAsia="宋体"/>
          <w:b/>
          <w:bCs/>
          <w:kern w:val="0"/>
          <w:szCs w:val="28"/>
        </w:rPr>
        <w:t>Ⅲ-6研究生奖助情况</w:t>
      </w:r>
    </w:p>
    <w:tbl>
      <w:tblPr>
        <w:tblStyle w:val="9"/>
        <w:tblW w:w="83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5"/>
        <w:gridCol w:w="1400"/>
        <w:gridCol w:w="991"/>
        <w:gridCol w:w="1925"/>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b/>
                <w:bCs/>
                <w:sz w:val="21"/>
              </w:rPr>
            </w:pPr>
            <w:r>
              <w:rPr>
                <w:rFonts w:hint="eastAsia" w:ascii="仿宋" w:hAnsi="仿宋"/>
                <w:b/>
                <w:bCs/>
                <w:sz w:val="21"/>
              </w:rPr>
              <w:t>项目名称</w:t>
            </w:r>
          </w:p>
        </w:tc>
        <w:tc>
          <w:tcPr>
            <w:tcW w:w="140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b/>
                <w:bCs/>
                <w:sz w:val="21"/>
              </w:rPr>
            </w:pPr>
            <w:r>
              <w:rPr>
                <w:rFonts w:hint="eastAsia" w:ascii="仿宋" w:hAnsi="仿宋"/>
                <w:b/>
                <w:bCs/>
                <w:sz w:val="21"/>
              </w:rPr>
              <w:t>资助类型</w:t>
            </w:r>
          </w:p>
        </w:tc>
        <w:tc>
          <w:tcPr>
            <w:tcW w:w="99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b/>
                <w:bCs/>
                <w:sz w:val="21"/>
              </w:rPr>
            </w:pPr>
            <w:r>
              <w:rPr>
                <w:rFonts w:hint="eastAsia" w:ascii="仿宋" w:hAnsi="仿宋"/>
                <w:b/>
                <w:bCs/>
                <w:sz w:val="21"/>
              </w:rPr>
              <w:t>年度</w:t>
            </w:r>
          </w:p>
        </w:tc>
        <w:tc>
          <w:tcPr>
            <w:tcW w:w="192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b/>
                <w:bCs/>
                <w:sz w:val="21"/>
              </w:rPr>
            </w:pPr>
            <w:r>
              <w:rPr>
                <w:rFonts w:hint="eastAsia" w:ascii="仿宋" w:hAnsi="仿宋"/>
                <w:b/>
                <w:bCs/>
                <w:sz w:val="21"/>
              </w:rPr>
              <w:t>总金额（万元）</w:t>
            </w:r>
          </w:p>
        </w:tc>
        <w:tc>
          <w:tcPr>
            <w:tcW w:w="147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b/>
                <w:bCs/>
                <w:sz w:val="21"/>
              </w:rPr>
            </w:pPr>
            <w:r>
              <w:rPr>
                <w:rFonts w:hint="eastAsia" w:ascii="仿宋" w:hAnsi="仿宋"/>
                <w:b/>
                <w:bCs/>
                <w:sz w:val="21"/>
              </w:rPr>
              <w:t>资助学生数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 w:hAnsi="仿宋" w:cs="宋体"/>
                <w:sz w:val="21"/>
              </w:rPr>
            </w:pPr>
            <w:r>
              <w:rPr>
                <w:rFonts w:hint="eastAsia" w:ascii="仿宋" w:hAnsi="仿宋" w:cs="宋体"/>
                <w:sz w:val="21"/>
              </w:rPr>
              <w:t>学业奖学金（一等）</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
              <w:ind w:firstLine="0" w:firstLineChars="0"/>
              <w:jc w:val="center"/>
              <w:rPr>
                <w:rFonts w:ascii="仿宋" w:hAnsi="仿宋"/>
                <w:sz w:val="21"/>
              </w:rPr>
            </w:pPr>
            <w:r>
              <w:rPr>
                <w:rFonts w:hint="eastAsia" w:ascii="仿宋" w:hAnsi="仿宋"/>
                <w:sz w:val="21"/>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4"/>
              <w:ind w:firstLine="0" w:firstLineChars="0"/>
              <w:jc w:val="center"/>
              <w:rPr>
                <w:rFonts w:ascii="仿宋" w:hAnsi="仿宋"/>
                <w:sz w:val="21"/>
              </w:rPr>
            </w:pPr>
            <w:r>
              <w:rPr>
                <w:rFonts w:hint="eastAsia" w:ascii="仿宋" w:hAnsi="仿宋"/>
                <w:sz w:val="21"/>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4"/>
              <w:ind w:firstLine="0" w:firstLineChars="0"/>
              <w:jc w:val="center"/>
              <w:rPr>
                <w:rFonts w:ascii="仿宋" w:hAnsi="仿宋"/>
                <w:sz w:val="21"/>
              </w:rPr>
            </w:pPr>
            <w:r>
              <w:rPr>
                <w:rFonts w:hint="eastAsia" w:ascii="仿宋" w:hAnsi="仿宋"/>
                <w:sz w:val="21"/>
              </w:rPr>
              <w:t>0.4</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4"/>
              <w:ind w:firstLine="0" w:firstLineChars="0"/>
              <w:jc w:val="center"/>
              <w:rPr>
                <w:rFonts w:ascii="仿宋" w:hAnsi="仿宋"/>
                <w:sz w:val="21"/>
              </w:rPr>
            </w:pPr>
            <w:r>
              <w:rPr>
                <w:rFonts w:hint="eastAsia" w:ascii="仿宋" w:hAnsi="仿宋"/>
                <w:sz w:val="21"/>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学业奖学金（二等）</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0.3</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学业奖学金（三等）</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0.2</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自治区奖学金</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奖学金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1</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25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国家助学金</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助学金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2021</w:t>
            </w:r>
          </w:p>
        </w:tc>
        <w:tc>
          <w:tcPr>
            <w:tcW w:w="192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0.3</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4"/>
              <w:spacing w:before="20"/>
              <w:ind w:firstLine="0" w:firstLineChars="0"/>
              <w:jc w:val="center"/>
              <w:rPr>
                <w:rFonts w:ascii="仿宋" w:hAnsi="仿宋"/>
                <w:sz w:val="21"/>
              </w:rPr>
            </w:pPr>
            <w:r>
              <w:rPr>
                <w:rFonts w:hint="eastAsia" w:ascii="仿宋" w:hAnsi="仿宋"/>
                <w:sz w:val="21"/>
              </w:rPr>
              <w:t>137</w:t>
            </w:r>
          </w:p>
        </w:tc>
      </w:tr>
    </w:tbl>
    <w:p>
      <w:pPr>
        <w:pStyle w:val="2"/>
        <w:ind w:left="0" w:leftChars="0" w:firstLine="0" w:firstLineChars="0"/>
      </w:pPr>
    </w:p>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autoSpaceDE w:val="0"/>
        <w:ind w:firstLine="640"/>
        <w:jc w:val="center"/>
        <w:rPr>
          <w:rFonts w:ascii="黑体" w:hAnsi="黑体" w:eastAsia="黑体"/>
          <w:sz w:val="32"/>
          <w:szCs w:val="32"/>
        </w:rPr>
      </w:pPr>
      <w:r>
        <w:rPr>
          <w:rFonts w:hint="eastAsia" w:ascii="黑体" w:hAnsi="黑体" w:eastAsia="黑体"/>
          <w:sz w:val="32"/>
          <w:szCs w:val="32"/>
        </w:rPr>
        <w:t>Ⅳ</w:t>
      </w:r>
      <w:r>
        <w:rPr>
          <w:rFonts w:ascii="黑体" w:hAnsi="黑体" w:eastAsia="黑体"/>
          <w:sz w:val="32"/>
          <w:szCs w:val="32"/>
        </w:rPr>
        <w:t xml:space="preserve"> </w:t>
      </w:r>
      <w:r>
        <w:rPr>
          <w:rFonts w:hint="eastAsia" w:ascii="黑体" w:hAnsi="黑体" w:eastAsia="黑体"/>
          <w:sz w:val="32"/>
          <w:szCs w:val="32"/>
        </w:rPr>
        <w:t>研究生教育改革情况</w:t>
      </w:r>
    </w:p>
    <w:p>
      <w:pPr>
        <w:pStyle w:val="13"/>
        <w:spacing w:before="0" w:beforeAutospacing="0" w:after="0" w:afterAutospacing="0"/>
        <w:ind w:left="0" w:leftChars="0" w:firstLine="0" w:firstLineChars="0"/>
        <w:jc w:val="left"/>
        <w:rPr>
          <w:rFonts w:ascii="宋体" w:hAnsi="宋体" w:eastAsia="宋体"/>
          <w:szCs w:val="28"/>
        </w:rPr>
      </w:pPr>
      <w:r>
        <w:rPr>
          <w:rFonts w:hint="eastAsia" w:ascii="宋体" w:hAnsi="宋体" w:eastAsia="宋体"/>
          <w:b/>
          <w:bCs/>
          <w:szCs w:val="28"/>
        </w:rPr>
        <w:t>Ⅳ-1</w:t>
      </w:r>
      <w:r>
        <w:rPr>
          <w:rFonts w:ascii="宋体" w:hAnsi="宋体" w:eastAsia="宋体"/>
          <w:b/>
          <w:bCs/>
          <w:szCs w:val="28"/>
        </w:rPr>
        <w:t xml:space="preserve"> </w:t>
      </w:r>
      <w:r>
        <w:rPr>
          <w:rFonts w:hint="eastAsia" w:ascii="宋体" w:hAnsi="宋体" w:eastAsia="宋体"/>
          <w:b/>
          <w:bCs/>
          <w:szCs w:val="28"/>
        </w:rPr>
        <w:t>人才培养</w:t>
      </w:r>
    </w:p>
    <w:p>
      <w:pPr>
        <w:autoSpaceDE w:val="0"/>
        <w:ind w:firstLine="560"/>
        <w:rPr>
          <w:rFonts w:ascii="仿宋" w:hAnsi="仿宋"/>
          <w:szCs w:val="28"/>
        </w:rPr>
      </w:pPr>
      <w:r>
        <w:rPr>
          <w:rFonts w:hint="eastAsia" w:ascii="仿宋" w:hAnsi="仿宋"/>
          <w:szCs w:val="28"/>
        </w:rPr>
        <w:t>1、学位点高度重视人才培养工作，积极进行教育教学改革。2</w:t>
      </w:r>
      <w:r>
        <w:rPr>
          <w:rFonts w:ascii="仿宋" w:hAnsi="仿宋"/>
          <w:szCs w:val="28"/>
        </w:rPr>
        <w:t>021</w:t>
      </w:r>
      <w:r>
        <w:rPr>
          <w:rFonts w:hint="eastAsia" w:ascii="仿宋" w:hAnsi="仿宋"/>
          <w:szCs w:val="28"/>
        </w:rPr>
        <w:t>年，利用中央专项研究生课程资源建设项目建设与完善3门专业必修课、2个综合案例库及1个研究生专业文献库，立项自治区级研究生教改项目2项，校级教改项目2项，4个案例入选校级研究生案例库。</w:t>
      </w:r>
    </w:p>
    <w:p>
      <w:pPr>
        <w:autoSpaceDE w:val="0"/>
        <w:ind w:firstLine="560"/>
        <w:rPr>
          <w:rFonts w:ascii="仿宋" w:hAnsi="仿宋"/>
          <w:szCs w:val="28"/>
        </w:rPr>
      </w:pPr>
      <w:r>
        <w:rPr>
          <w:rFonts w:hint="eastAsia" w:ascii="仿宋" w:hAnsi="仿宋"/>
          <w:szCs w:val="28"/>
        </w:rPr>
        <w:t>2、学位点校外导师45名， 积极参与学位点培养方案修订、课程建设、课堂教学、论文开题、预答辩、答辩等人才培养工作。积极提供学生赴企业实习实践、调研访谈、参与企业管理咨询项目的机会，为学生搭建专业学习与社会实践相结合的平台，不断提升学生科研素养与创新能力。</w:t>
      </w:r>
    </w:p>
    <w:p>
      <w:pPr>
        <w:pStyle w:val="13"/>
        <w:spacing w:before="0" w:beforeAutospacing="0" w:after="0" w:afterAutospacing="0"/>
        <w:ind w:left="0" w:leftChars="0" w:firstLine="0" w:firstLineChars="0"/>
        <w:jc w:val="left"/>
        <w:rPr>
          <w:rFonts w:ascii="宋体" w:hAnsi="宋体" w:eastAsia="宋体"/>
          <w:b/>
          <w:bCs/>
          <w:szCs w:val="28"/>
        </w:rPr>
      </w:pPr>
      <w:r>
        <w:rPr>
          <w:rFonts w:hint="eastAsia" w:ascii="宋体" w:hAnsi="宋体" w:eastAsia="宋体"/>
          <w:b/>
          <w:bCs/>
          <w:szCs w:val="28"/>
        </w:rPr>
        <w:t>Ⅳ-2</w:t>
      </w:r>
      <w:r>
        <w:rPr>
          <w:rFonts w:ascii="宋体" w:hAnsi="宋体" w:eastAsia="宋体"/>
          <w:b/>
          <w:bCs/>
          <w:szCs w:val="28"/>
        </w:rPr>
        <w:t xml:space="preserve"> </w:t>
      </w:r>
      <w:r>
        <w:rPr>
          <w:rFonts w:hint="eastAsia" w:ascii="宋体" w:hAnsi="宋体" w:eastAsia="宋体"/>
          <w:b/>
          <w:bCs/>
          <w:szCs w:val="28"/>
        </w:rPr>
        <w:t>教师队伍建设</w:t>
      </w:r>
    </w:p>
    <w:p>
      <w:pPr>
        <w:pStyle w:val="13"/>
        <w:spacing w:before="0" w:beforeAutospacing="0" w:after="0" w:afterAutospacing="0"/>
        <w:ind w:left="0" w:leftChars="0" w:firstLine="560"/>
        <w:rPr>
          <w:rFonts w:ascii="仿宋" w:hAnsi="仿宋"/>
          <w:szCs w:val="28"/>
        </w:rPr>
      </w:pPr>
      <w:r>
        <w:rPr>
          <w:rFonts w:hint="eastAsia" w:ascii="仿宋" w:hAnsi="仿宋"/>
          <w:szCs w:val="28"/>
        </w:rPr>
        <w:t>本学位点拥有一支高职称、高学历、高水平的师资队伍，2</w:t>
      </w:r>
      <w:r>
        <w:rPr>
          <w:rFonts w:ascii="仿宋" w:hAnsi="仿宋"/>
          <w:szCs w:val="28"/>
        </w:rPr>
        <w:t>021</w:t>
      </w:r>
      <w:r>
        <w:rPr>
          <w:rFonts w:hint="eastAsia" w:ascii="仿宋" w:hAnsi="仿宋"/>
          <w:szCs w:val="28"/>
        </w:rPr>
        <w:t>年学位点引进博士1人，在读博士2人；上海财经大学靳庆鲁教授，上海交通大学夏立军教授，受聘自治区“天池学者”特聘教授，重点支持学科与学位点建设和人才培养工作。2</w:t>
      </w:r>
      <w:r>
        <w:rPr>
          <w:rFonts w:ascii="仿宋" w:hAnsi="仿宋"/>
          <w:szCs w:val="28"/>
        </w:rPr>
        <w:t>021</w:t>
      </w:r>
      <w:r>
        <w:rPr>
          <w:rFonts w:hint="eastAsia" w:ascii="仿宋" w:hAnsi="仿宋"/>
          <w:szCs w:val="28"/>
        </w:rPr>
        <w:t>年，6人次分别获得自治区级优秀共产党员、自治区高等学校教学能手、校级优秀共产党员、优秀党务工作者、校级优秀教师等荣誉称号。</w:t>
      </w:r>
    </w:p>
    <w:p>
      <w:pPr>
        <w:pStyle w:val="13"/>
        <w:spacing w:before="0" w:beforeAutospacing="0" w:after="0" w:afterAutospacing="0"/>
        <w:ind w:left="0" w:leftChars="0" w:firstLine="0" w:firstLineChars="0"/>
        <w:jc w:val="left"/>
        <w:rPr>
          <w:rFonts w:ascii="宋体" w:hAnsi="宋体" w:eastAsia="宋体"/>
          <w:b/>
          <w:bCs/>
          <w:szCs w:val="28"/>
        </w:rPr>
      </w:pPr>
      <w:r>
        <w:rPr>
          <w:rFonts w:hint="eastAsia" w:ascii="宋体" w:hAnsi="宋体" w:eastAsia="宋体"/>
          <w:b/>
          <w:bCs/>
          <w:szCs w:val="28"/>
        </w:rPr>
        <w:t>Ⅳ-3</w:t>
      </w:r>
      <w:r>
        <w:rPr>
          <w:rFonts w:ascii="宋体" w:hAnsi="宋体" w:eastAsia="宋体"/>
          <w:b/>
          <w:bCs/>
          <w:szCs w:val="28"/>
        </w:rPr>
        <w:t xml:space="preserve"> </w:t>
      </w:r>
      <w:r>
        <w:rPr>
          <w:rFonts w:hint="eastAsia" w:ascii="宋体" w:hAnsi="宋体" w:eastAsia="宋体"/>
          <w:b/>
          <w:bCs/>
          <w:szCs w:val="28"/>
        </w:rPr>
        <w:t>科学研究</w:t>
      </w:r>
    </w:p>
    <w:p>
      <w:pPr>
        <w:autoSpaceDE w:val="0"/>
        <w:ind w:firstLine="560"/>
        <w:rPr>
          <w:rFonts w:ascii="仿宋" w:hAnsi="仿宋"/>
          <w:szCs w:val="28"/>
        </w:rPr>
      </w:pPr>
      <w:r>
        <w:rPr>
          <w:rFonts w:hint="eastAsia" w:ascii="仿宋" w:hAnsi="仿宋"/>
          <w:szCs w:val="28"/>
        </w:rPr>
        <w:t>学位点立足理论研究基础，瞄准科学前沿、国家战略和社会经济需要，积极落实主动服务地方经济社会发展的工作思路，充分发挥技术人才优势，加强与地方政府及企事业单位的产学研合作，推动科研实力提升和科技成果转化。2021年，获批国家自然科学基金1项，国家社会科学基金1项，立项经费46万元；获批省部级科研项目4项，立项经费16万元；立项横向1项，立项金额5万元。发表高水平学术论文39篇，其中CSSCI论文3篇，北图中文核心期刊17篇。</w:t>
      </w:r>
    </w:p>
    <w:p>
      <w:pPr>
        <w:pStyle w:val="13"/>
        <w:spacing w:before="0" w:beforeAutospacing="0" w:after="0" w:afterAutospacing="0"/>
        <w:ind w:left="0" w:leftChars="0" w:firstLine="0" w:firstLineChars="0"/>
        <w:jc w:val="left"/>
        <w:rPr>
          <w:rFonts w:ascii="宋体" w:hAnsi="宋体" w:eastAsia="宋体"/>
          <w:b/>
          <w:bCs/>
          <w:szCs w:val="28"/>
        </w:rPr>
      </w:pPr>
      <w:r>
        <w:rPr>
          <w:rFonts w:hint="eastAsia" w:ascii="宋体" w:hAnsi="宋体" w:eastAsia="宋体"/>
          <w:b/>
          <w:bCs/>
          <w:szCs w:val="28"/>
        </w:rPr>
        <w:t>Ⅳ-4</w:t>
      </w:r>
      <w:r>
        <w:rPr>
          <w:rFonts w:ascii="宋体" w:hAnsi="宋体" w:eastAsia="宋体"/>
          <w:b/>
          <w:bCs/>
          <w:szCs w:val="28"/>
        </w:rPr>
        <w:t xml:space="preserve"> </w:t>
      </w:r>
      <w:r>
        <w:rPr>
          <w:rFonts w:hint="eastAsia" w:ascii="宋体" w:hAnsi="宋体" w:eastAsia="宋体"/>
          <w:b/>
          <w:bCs/>
          <w:szCs w:val="28"/>
        </w:rPr>
        <w:t>传承创新优秀文化</w:t>
      </w:r>
    </w:p>
    <w:p>
      <w:pPr>
        <w:autoSpaceDE w:val="0"/>
        <w:ind w:firstLine="560"/>
        <w:rPr>
          <w:rFonts w:ascii="仿宋" w:hAnsi="仿宋"/>
          <w:szCs w:val="28"/>
        </w:rPr>
      </w:pPr>
      <w:r>
        <w:rPr>
          <w:rFonts w:ascii="仿宋" w:hAnsi="仿宋"/>
          <w:szCs w:val="28"/>
        </w:rPr>
        <w:t xml:space="preserve"> </w:t>
      </w:r>
      <w:r>
        <w:rPr>
          <w:rFonts w:hint="eastAsia" w:ascii="仿宋" w:hAnsi="仿宋"/>
          <w:szCs w:val="28"/>
        </w:rPr>
        <w:t>1、弘扬优秀传统文化，丰富校园文化生活。一是充分利用校内国学教室、校史博物馆、座谈室等场所，组织研究生开展书法大赛、合唱比赛、传统文化竞猜等活动，立校风、树学风、展师风，以中华优秀传统文化引导学生坚定文化自信。二是开展“四讲”活动。制定了《新疆财经大学“三进两联一交友·五育宿舍”评选活动实施办法》，下发了《关于组织好“四讲”加强大学生思想政治教育工作的通知》，学校充分利用“至善大讲堂”，在全校开展了由校院两级领导讲时政、思政专业教师讲理论、优秀校友讲奋斗、特聘专家讲国学的“四讲”活动，从而使学生思想政治教育入脑入心，润物无声。三是开展“五育宿舍”创建活动。学校制定了《“三进两联一交友</w:t>
      </w:r>
      <w:r>
        <w:rPr>
          <w:rFonts w:ascii="Segoe UI Emoji" w:hAnsi="Segoe UI Emoji" w:cs="Segoe UI Emoji"/>
          <w:szCs w:val="28"/>
        </w:rPr>
        <w:t>▪</w:t>
      </w:r>
      <w:r>
        <w:rPr>
          <w:rFonts w:hint="eastAsia" w:ascii="仿宋" w:hAnsi="仿宋"/>
          <w:szCs w:val="28"/>
        </w:rPr>
        <w:t>五育宿舍”评选活动实施办法》，扎实开展团结宿舍、学习宿舍、文体宿舍、文明安全宿舍、劳动卫生宿舍的“五育宿舍”评选活动。各公寓建成党团之家、党团活动室、研究生之家等，改善了学生公寓的学习生活环境，建成新疆财经大学“五育宿舍”创建示范基地。</w:t>
      </w:r>
    </w:p>
    <w:p>
      <w:pPr>
        <w:autoSpaceDE w:val="0"/>
        <w:ind w:firstLine="560"/>
        <w:rPr>
          <w:rFonts w:ascii="仿宋" w:hAnsi="仿宋"/>
          <w:szCs w:val="28"/>
        </w:rPr>
      </w:pPr>
      <w:r>
        <w:rPr>
          <w:rFonts w:hint="eastAsia" w:ascii="仿宋" w:hAnsi="仿宋"/>
          <w:szCs w:val="28"/>
        </w:rPr>
        <w:t>2、立足本土实际，构建思政育人新模式。认真落实教育部《高等学校课程思政建设指导纲要》，坚持“整体推进、重点培养、学院主导、老师主体”工作思路，不断探索思想政治教育新模式、新思路、新手段，改进工作方法，全面提升育人质量。制定了《新疆财经大学课程思政实施方案》，所有教师所有课程融入思政元素，促进思政教育与专业教育有机融合，实现知识传授、能力培养与价值引领有机统一。</w:t>
      </w:r>
    </w:p>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autoSpaceDE w:val="0"/>
        <w:ind w:firstLine="640"/>
        <w:jc w:val="center"/>
        <w:rPr>
          <w:rFonts w:ascii="黑体" w:hAnsi="黑体" w:eastAsia="黑体"/>
          <w:sz w:val="32"/>
          <w:szCs w:val="32"/>
        </w:rPr>
      </w:pPr>
      <w:r>
        <w:rPr>
          <w:rFonts w:hint="eastAsia" w:ascii="黑体" w:hAnsi="黑体" w:eastAsia="黑体"/>
          <w:sz w:val="32"/>
          <w:szCs w:val="32"/>
        </w:rPr>
        <w:t>Ⅴ 教育质量评估与分析</w:t>
      </w:r>
    </w:p>
    <w:p>
      <w:pPr>
        <w:autoSpaceDE w:val="0"/>
        <w:ind w:firstLine="560"/>
        <w:rPr>
          <w:rFonts w:ascii="仿宋" w:hAnsi="仿宋"/>
          <w:color w:val="FF0000"/>
          <w:szCs w:val="28"/>
        </w:rPr>
      </w:pPr>
      <w:r>
        <w:rPr>
          <w:rFonts w:hint="eastAsia" w:ascii="仿宋" w:hAnsi="仿宋"/>
          <w:color w:val="FF0000"/>
          <w:szCs w:val="28"/>
        </w:rPr>
        <w:t>学科自我评估进展及问题分析，学位论文抽检情况及问题分析。</w:t>
      </w:r>
    </w:p>
    <w:p>
      <w:pPr>
        <w:pStyle w:val="13"/>
        <w:spacing w:before="0" w:beforeAutospacing="0" w:after="0" w:afterAutospacing="0"/>
        <w:ind w:left="0" w:leftChars="0" w:firstLine="0" w:firstLineChars="0"/>
        <w:jc w:val="left"/>
        <w:rPr>
          <w:rFonts w:ascii="宋体" w:hAnsi="宋体" w:eastAsia="宋体"/>
          <w:b/>
          <w:bCs/>
          <w:szCs w:val="28"/>
        </w:rPr>
      </w:pPr>
      <w:r>
        <w:rPr>
          <w:rFonts w:hint="eastAsia" w:ascii="宋体" w:hAnsi="宋体" w:eastAsia="宋体"/>
          <w:b/>
          <w:bCs/>
          <w:szCs w:val="28"/>
        </w:rPr>
        <w:t>Ⅴ-1</w:t>
      </w:r>
      <w:r>
        <w:rPr>
          <w:rFonts w:ascii="宋体" w:hAnsi="宋体" w:eastAsia="宋体"/>
          <w:b/>
          <w:bCs/>
          <w:szCs w:val="28"/>
        </w:rPr>
        <w:t xml:space="preserve"> </w:t>
      </w:r>
      <w:r>
        <w:rPr>
          <w:rFonts w:hint="eastAsia" w:ascii="宋体" w:hAnsi="宋体" w:eastAsia="宋体"/>
          <w:b/>
          <w:bCs/>
          <w:szCs w:val="28"/>
        </w:rPr>
        <w:t>学科自我评估进展</w:t>
      </w:r>
    </w:p>
    <w:p>
      <w:pPr>
        <w:ind w:firstLine="560"/>
        <w:rPr>
          <w:rFonts w:ascii="仿宋" w:hAnsi="仿宋"/>
        </w:rPr>
      </w:pPr>
      <w:r>
        <w:rPr>
          <w:rFonts w:hint="eastAsia" w:ascii="仿宋" w:hAnsi="仿宋"/>
        </w:rPr>
        <w:t>2021.11.11 国务院学位委员会、教育部关于开展 2020—2025年学位授权点周期性合格评估工作的通知</w:t>
      </w:r>
      <w:bookmarkStart w:id="4" w:name="_GoBack"/>
      <w:bookmarkEnd w:id="4"/>
      <w:r>
        <w:rPr>
          <w:rFonts w:hint="eastAsia" w:ascii="仿宋" w:hAnsi="仿宋"/>
        </w:rPr>
        <w:t xml:space="preserve">，明确未来五年的学位点评估安排，划定了评估范围，确立了自我评估、教育行政部门抽评相结合的评估方案。 </w:t>
      </w:r>
    </w:p>
    <w:p>
      <w:pPr>
        <w:widowControl/>
        <w:ind w:firstLine="560"/>
        <w:jc w:val="left"/>
        <w:rPr>
          <w:rFonts w:ascii="仿宋" w:hAnsi="仿宋"/>
          <w:szCs w:val="28"/>
        </w:rPr>
      </w:pPr>
      <w:r>
        <w:rPr>
          <w:rFonts w:hint="eastAsia" w:ascii="仿宋" w:hAnsi="仿宋"/>
          <w:szCs w:val="28"/>
        </w:rPr>
        <w:t xml:space="preserve">2021.03.22 新疆财经大学下发关于编制《学位授权点建设年度报告》的通知，启动2021年度学位点建设年度报告编制工作。 </w:t>
      </w:r>
    </w:p>
    <w:p>
      <w:pPr>
        <w:widowControl/>
        <w:ind w:firstLine="560"/>
        <w:jc w:val="left"/>
        <w:rPr>
          <w:rFonts w:ascii="仿宋" w:hAnsi="仿宋"/>
          <w:szCs w:val="28"/>
        </w:rPr>
      </w:pPr>
      <w:r>
        <w:rPr>
          <w:rFonts w:hint="eastAsia" w:ascii="仿宋" w:hAnsi="仿宋"/>
          <w:szCs w:val="28"/>
        </w:rPr>
        <w:t>202</w:t>
      </w:r>
      <w:r>
        <w:rPr>
          <w:rFonts w:ascii="仿宋" w:hAnsi="仿宋"/>
          <w:szCs w:val="28"/>
        </w:rPr>
        <w:t>1</w:t>
      </w:r>
      <w:r>
        <w:rPr>
          <w:rFonts w:hint="eastAsia" w:ascii="仿宋" w:hAnsi="仿宋"/>
          <w:szCs w:val="28"/>
        </w:rPr>
        <w:t>.</w:t>
      </w:r>
      <w:r>
        <w:rPr>
          <w:rFonts w:ascii="仿宋" w:hAnsi="仿宋"/>
          <w:szCs w:val="28"/>
        </w:rPr>
        <w:t>4</w:t>
      </w:r>
      <w:r>
        <w:rPr>
          <w:rFonts w:hint="eastAsia" w:ascii="仿宋" w:hAnsi="仿宋"/>
          <w:szCs w:val="28"/>
        </w:rPr>
        <w:t>.21 会计学院成立“会计专业硕士学位授权点合格评估小组“，制定“会计学院学位点合格评估年度报告编制工作安排”</w:t>
      </w:r>
      <w:r>
        <w:rPr>
          <w:rFonts w:ascii="仿宋" w:hAnsi="仿宋"/>
          <w:szCs w:val="28"/>
        </w:rPr>
        <w:t xml:space="preserve"> </w:t>
      </w:r>
    </w:p>
    <w:p>
      <w:pPr>
        <w:widowControl/>
        <w:ind w:firstLine="560"/>
        <w:jc w:val="left"/>
        <w:rPr>
          <w:rFonts w:ascii="仿宋" w:hAnsi="仿宋"/>
          <w:szCs w:val="28"/>
        </w:rPr>
      </w:pPr>
      <w:r>
        <w:rPr>
          <w:rFonts w:hint="eastAsia" w:ascii="仿宋" w:hAnsi="仿宋"/>
          <w:szCs w:val="28"/>
        </w:rPr>
        <w:t>2</w:t>
      </w:r>
      <w:r>
        <w:rPr>
          <w:rFonts w:ascii="仿宋" w:hAnsi="仿宋"/>
          <w:szCs w:val="28"/>
        </w:rPr>
        <w:t>021.5.</w:t>
      </w:r>
      <w:r>
        <w:rPr>
          <w:rFonts w:hint="eastAsia" w:ascii="仿宋" w:hAnsi="仿宋"/>
          <w:szCs w:val="28"/>
        </w:rPr>
        <w:t xml:space="preserve">1，启动年度报告编制工作。 </w:t>
      </w:r>
    </w:p>
    <w:p>
      <w:pPr>
        <w:widowControl/>
        <w:ind w:firstLine="560"/>
        <w:jc w:val="left"/>
        <w:rPr>
          <w:rFonts w:ascii="仿宋" w:hAnsi="仿宋"/>
          <w:szCs w:val="28"/>
        </w:rPr>
      </w:pPr>
      <w:r>
        <w:rPr>
          <w:rFonts w:hint="eastAsia" w:ascii="仿宋" w:hAnsi="仿宋"/>
          <w:szCs w:val="28"/>
        </w:rPr>
        <w:t xml:space="preserve">2022.02.22 会计学院召开会议，审议学位点建设年度报告。 </w:t>
      </w:r>
    </w:p>
    <w:p>
      <w:pPr>
        <w:pStyle w:val="13"/>
        <w:spacing w:before="0" w:beforeAutospacing="0" w:after="0" w:afterAutospacing="0"/>
        <w:ind w:left="0" w:leftChars="0" w:firstLine="0" w:firstLineChars="0"/>
        <w:jc w:val="left"/>
        <w:rPr>
          <w:rFonts w:ascii="宋体" w:hAnsi="宋体" w:eastAsia="宋体"/>
          <w:b/>
          <w:bCs/>
          <w:szCs w:val="28"/>
        </w:rPr>
      </w:pPr>
      <w:r>
        <w:rPr>
          <w:rFonts w:hint="eastAsia" w:ascii="宋体" w:hAnsi="宋体" w:eastAsia="宋体"/>
          <w:b/>
          <w:bCs/>
          <w:szCs w:val="28"/>
        </w:rPr>
        <w:t>Ⅴ-2</w:t>
      </w:r>
      <w:r>
        <w:rPr>
          <w:rFonts w:ascii="宋体" w:hAnsi="宋体" w:eastAsia="宋体"/>
          <w:b/>
          <w:bCs/>
          <w:szCs w:val="28"/>
        </w:rPr>
        <w:t xml:space="preserve"> </w:t>
      </w:r>
      <w:r>
        <w:rPr>
          <w:rFonts w:hint="eastAsia" w:ascii="宋体" w:hAnsi="宋体" w:eastAsia="宋体"/>
          <w:b/>
          <w:bCs/>
          <w:szCs w:val="28"/>
        </w:rPr>
        <w:t>问题分析</w:t>
      </w:r>
    </w:p>
    <w:p>
      <w:pPr>
        <w:pStyle w:val="13"/>
        <w:spacing w:before="0" w:beforeAutospacing="0" w:after="0" w:afterAutospacing="0"/>
        <w:ind w:left="0" w:leftChars="0" w:firstLine="562"/>
        <w:rPr>
          <w:rFonts w:ascii="仿宋" w:hAnsi="仿宋"/>
          <w:szCs w:val="28"/>
        </w:rPr>
      </w:pPr>
      <w:r>
        <w:rPr>
          <w:rFonts w:hint="eastAsia" w:ascii="仿宋" w:hAnsi="仿宋"/>
          <w:b/>
          <w:bCs/>
          <w:szCs w:val="28"/>
        </w:rPr>
        <w:t>1、专业学位研究生导师队伍建设需进一步加强。一是</w:t>
      </w:r>
      <w:r>
        <w:rPr>
          <w:rFonts w:hint="eastAsia" w:ascii="仿宋" w:hAnsi="仿宋"/>
          <w:szCs w:val="28"/>
        </w:rPr>
        <w:t>对于校内导师的培训需要进一步加强，以适应发展的需要。</w:t>
      </w:r>
      <w:r>
        <w:rPr>
          <w:rFonts w:hint="eastAsia" w:ascii="仿宋" w:hAnsi="仿宋"/>
          <w:b/>
          <w:bCs/>
          <w:szCs w:val="28"/>
        </w:rPr>
        <w:t>二是</w:t>
      </w:r>
      <w:r>
        <w:rPr>
          <w:rFonts w:hint="eastAsia" w:ascii="仿宋" w:hAnsi="仿宋"/>
          <w:szCs w:val="28"/>
        </w:rPr>
        <w:t>双导师机制的建设与完善需进一步创新与完善。</w:t>
      </w:r>
    </w:p>
    <w:p>
      <w:pPr>
        <w:pStyle w:val="13"/>
        <w:spacing w:before="0" w:beforeAutospacing="0" w:after="0" w:afterAutospacing="0"/>
        <w:ind w:left="0" w:leftChars="0" w:firstLine="562"/>
        <w:rPr>
          <w:rFonts w:ascii="仿宋" w:hAnsi="仿宋"/>
          <w:szCs w:val="28"/>
        </w:rPr>
      </w:pPr>
      <w:r>
        <w:rPr>
          <w:rFonts w:hint="eastAsia" w:ascii="仿宋" w:hAnsi="仿宋"/>
          <w:b/>
          <w:bCs/>
          <w:szCs w:val="28"/>
        </w:rPr>
        <w:t>2、产教融合专业学位研究生培养模式改革需进一步深化。</w:t>
      </w:r>
      <w:r>
        <w:rPr>
          <w:rFonts w:hint="eastAsia" w:ascii="仿宋" w:hAnsi="仿宋"/>
          <w:szCs w:val="28"/>
        </w:rPr>
        <w:t>目前，我校会计专硕培养方案，虽结合新文科发展需求，进行修改。但与行业产业联合不足，专业学位研究生实践能力有待加强。</w:t>
      </w:r>
    </w:p>
    <w:p>
      <w:pPr>
        <w:pStyle w:val="13"/>
        <w:spacing w:before="0" w:beforeAutospacing="0" w:after="0" w:afterAutospacing="0"/>
        <w:ind w:left="0" w:leftChars="0" w:firstLine="562"/>
        <w:rPr>
          <w:rFonts w:ascii="仿宋" w:hAnsi="仿宋"/>
          <w:szCs w:val="28"/>
        </w:rPr>
      </w:pPr>
      <w:r>
        <w:rPr>
          <w:rFonts w:hint="eastAsia" w:ascii="仿宋" w:hAnsi="仿宋"/>
          <w:b/>
          <w:bCs/>
          <w:szCs w:val="28"/>
        </w:rPr>
        <w:t>3、研究生教育评价机制需进一步完善。</w:t>
      </w:r>
      <w:r>
        <w:rPr>
          <w:rFonts w:hint="eastAsia" w:ascii="仿宋" w:hAnsi="仿宋"/>
          <w:szCs w:val="28"/>
        </w:rPr>
        <w:t>目前我校会计专硕的考核仍是以课程考试为主，对实践应用能力的考核有待加强。</w:t>
      </w:r>
    </w:p>
    <w:p>
      <w:pPr>
        <w:widowControl/>
        <w:ind w:firstLine="562"/>
        <w:jc w:val="left"/>
        <w:rPr>
          <w:rFonts w:ascii="仿宋" w:hAnsi="仿宋"/>
          <w:szCs w:val="28"/>
        </w:rPr>
      </w:pPr>
      <w:r>
        <w:rPr>
          <w:rFonts w:hint="eastAsia" w:ascii="仿宋" w:hAnsi="仿宋"/>
          <w:b/>
          <w:bCs/>
          <w:szCs w:val="28"/>
        </w:rPr>
        <w:t>4、高水平科研成果不足。</w:t>
      </w:r>
      <w:r>
        <w:rPr>
          <w:rFonts w:hint="eastAsia" w:ascii="仿宋" w:hAnsi="仿宋"/>
          <w:szCs w:val="28"/>
        </w:rPr>
        <w:t>近年来，本学科在科研项目立项、科研经费获批方面取得了显著进步，但在科研产出方面还存在明显不足：国家级、部委级研究基地尚属空白，科研实力不突出，国家级、省部级项目数量虽然可观，但缺少标志性、代表性的项目和成果，</w:t>
      </w:r>
      <w:r>
        <w:rPr>
          <w:rFonts w:ascii="仿宋_GB2312" w:eastAsia="仿宋_GB2312"/>
          <w:sz w:val="32"/>
          <w:szCs w:val="32"/>
        </w:rPr>
        <w:t xml:space="preserve"> </w:t>
      </w:r>
      <w:r>
        <w:rPr>
          <w:rFonts w:hint="eastAsia" w:ascii="仿宋" w:hAnsi="仿宋"/>
          <w:szCs w:val="28"/>
        </w:rPr>
        <w:t>学生创新科研能力有待进一步加强。</w:t>
      </w:r>
    </w:p>
    <w:p>
      <w:pPr>
        <w:pStyle w:val="13"/>
        <w:spacing w:before="0" w:beforeAutospacing="0" w:after="0" w:afterAutospacing="0"/>
        <w:ind w:left="0" w:leftChars="0" w:firstLine="562"/>
        <w:rPr>
          <w:rFonts w:ascii="宋体" w:hAnsi="宋体" w:eastAsia="宋体"/>
          <w:b/>
          <w:bCs/>
          <w:szCs w:val="28"/>
        </w:rPr>
      </w:pPr>
      <w:r>
        <w:rPr>
          <w:rFonts w:hint="eastAsia" w:ascii="宋体" w:hAnsi="宋体" w:eastAsia="宋体"/>
          <w:b/>
          <w:bCs/>
          <w:szCs w:val="28"/>
        </w:rPr>
        <w:t>Ⅴ-3</w:t>
      </w:r>
      <w:r>
        <w:rPr>
          <w:rFonts w:ascii="宋体" w:hAnsi="宋体" w:eastAsia="宋体"/>
          <w:b/>
          <w:bCs/>
          <w:szCs w:val="28"/>
        </w:rPr>
        <w:t xml:space="preserve"> </w:t>
      </w:r>
      <w:r>
        <w:rPr>
          <w:rFonts w:hint="eastAsia" w:ascii="宋体" w:hAnsi="宋体" w:eastAsia="宋体"/>
          <w:b/>
          <w:bCs/>
          <w:szCs w:val="28"/>
        </w:rPr>
        <w:t xml:space="preserve">学位论文抽检情况及问题分析 </w:t>
      </w:r>
    </w:p>
    <w:p>
      <w:pPr>
        <w:pStyle w:val="13"/>
        <w:spacing w:before="0" w:beforeAutospacing="0" w:after="0" w:afterAutospacing="0"/>
        <w:ind w:left="0" w:leftChars="0" w:firstLine="560"/>
        <w:rPr>
          <w:rFonts w:ascii="仿宋" w:hAnsi="仿宋"/>
          <w:szCs w:val="28"/>
        </w:rPr>
      </w:pPr>
      <w:r>
        <w:rPr>
          <w:rFonts w:hint="eastAsia" w:ascii="仿宋" w:hAnsi="仿宋"/>
          <w:szCs w:val="28"/>
        </w:rPr>
        <w:t>2021年通过毕业答辩的会计专业硕士毕业生，经学校对学位论文学术不端行为检测，均为合格。2020年年底，自治区论文抽检会计专业硕士20人，均为合格。</w:t>
      </w:r>
    </w:p>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autoSpaceDE w:val="0"/>
        <w:ind w:firstLine="198" w:firstLineChars="62"/>
        <w:jc w:val="center"/>
        <w:rPr>
          <w:rFonts w:ascii="黑体" w:hAnsi="黑体" w:eastAsia="黑体"/>
          <w:sz w:val="32"/>
          <w:szCs w:val="32"/>
        </w:rPr>
      </w:pPr>
      <w:r>
        <w:rPr>
          <w:rFonts w:hint="eastAsia" w:ascii="黑体" w:hAnsi="黑体" w:eastAsia="黑体"/>
          <w:sz w:val="32"/>
          <w:szCs w:val="32"/>
        </w:rPr>
        <w:t>Ⅵ</w:t>
      </w:r>
      <w:r>
        <w:rPr>
          <w:rFonts w:ascii="黑体" w:hAnsi="黑体" w:eastAsia="黑体"/>
          <w:sz w:val="32"/>
          <w:szCs w:val="32"/>
        </w:rPr>
        <w:t xml:space="preserve"> </w:t>
      </w:r>
      <w:r>
        <w:rPr>
          <w:rFonts w:hint="eastAsia" w:ascii="黑体" w:hAnsi="黑体" w:eastAsia="黑体"/>
          <w:sz w:val="32"/>
          <w:szCs w:val="32"/>
        </w:rPr>
        <w:t>改进措施</w:t>
      </w:r>
    </w:p>
    <w:p>
      <w:pPr>
        <w:autoSpaceDE w:val="0"/>
        <w:ind w:firstLine="560"/>
        <w:jc w:val="left"/>
        <w:rPr>
          <w:rFonts w:ascii="仿宋" w:hAnsi="仿宋"/>
          <w:color w:val="FF0000"/>
          <w:szCs w:val="28"/>
        </w:rPr>
      </w:pPr>
      <w:r>
        <w:rPr>
          <w:rFonts w:hint="eastAsia" w:ascii="仿宋" w:hAnsi="仿宋"/>
          <w:color w:val="FF0000"/>
          <w:szCs w:val="28"/>
        </w:rPr>
        <w:t>针对问题提出改进建议和下一步思路举措</w:t>
      </w:r>
    </w:p>
    <w:p>
      <w:pPr>
        <w:widowControl/>
        <w:ind w:firstLine="562"/>
        <w:jc w:val="left"/>
        <w:rPr>
          <w:rFonts w:ascii="仿宋" w:hAnsi="仿宋"/>
          <w:szCs w:val="28"/>
        </w:rPr>
      </w:pPr>
      <w:r>
        <w:rPr>
          <w:rFonts w:hint="eastAsia" w:ascii="仿宋" w:hAnsi="仿宋"/>
          <w:b/>
          <w:bCs/>
          <w:szCs w:val="28"/>
        </w:rPr>
        <w:t>1、加强专业学位研究生导师队伍建设。</w:t>
      </w:r>
      <w:r>
        <w:rPr>
          <w:rFonts w:hint="eastAsia" w:ascii="仿宋" w:hAnsi="仿宋"/>
          <w:szCs w:val="28"/>
        </w:rPr>
        <w:t>坚持正确育人导向，强化导师育人职责。</w:t>
      </w:r>
      <w:r>
        <w:rPr>
          <w:rFonts w:hint="eastAsia" w:ascii="仿宋" w:hAnsi="仿宋"/>
          <w:b/>
          <w:bCs/>
          <w:szCs w:val="28"/>
        </w:rPr>
        <w:t>一是</w:t>
      </w:r>
      <w:r>
        <w:rPr>
          <w:rFonts w:hint="eastAsia" w:ascii="仿宋" w:hAnsi="仿宋"/>
          <w:szCs w:val="28"/>
        </w:rPr>
        <w:t>加强对校内研究生导师的培训</w:t>
      </w:r>
      <w:r>
        <w:rPr>
          <w:rFonts w:hint="eastAsia" w:ascii="仿宋" w:hAnsi="仿宋"/>
          <w:b/>
          <w:bCs/>
          <w:szCs w:val="28"/>
        </w:rPr>
        <w:t>。二是</w:t>
      </w:r>
      <w:r>
        <w:rPr>
          <w:rFonts w:hint="eastAsia" w:ascii="仿宋" w:hAnsi="仿宋"/>
          <w:szCs w:val="28"/>
        </w:rPr>
        <w:t>进一步健全行业导师选聘制度，积极推进双导师制。聘请各级党政机关、科研院所、军队、企事业单位党员领导干部、实务界专家学者等担任校外导师，全面提升会计专硕研究生思想水平、政治觉悟、道德品质和业务能力。</w:t>
      </w:r>
      <w:r>
        <w:rPr>
          <w:rFonts w:hint="eastAsia" w:ascii="仿宋" w:hAnsi="仿宋"/>
          <w:b/>
          <w:bCs/>
          <w:szCs w:val="28"/>
        </w:rPr>
        <w:t>三是</w:t>
      </w:r>
      <w:r>
        <w:rPr>
          <w:rFonts w:hint="eastAsia" w:ascii="仿宋" w:hAnsi="仿宋"/>
          <w:szCs w:val="28"/>
        </w:rPr>
        <w:t>邀请地方领导干部、国企骨干、劳动模范、优秀校友等走上讲台，开展讲座，形成示范效应。全面提升研究生导师队伍综合素质。</w:t>
      </w:r>
    </w:p>
    <w:p>
      <w:pPr>
        <w:ind w:firstLine="562"/>
        <w:rPr>
          <w:rFonts w:ascii="仿宋" w:hAnsi="仿宋"/>
          <w:szCs w:val="28"/>
        </w:rPr>
      </w:pPr>
      <w:r>
        <w:rPr>
          <w:rFonts w:hint="eastAsia" w:ascii="仿宋" w:hAnsi="仿宋"/>
          <w:b/>
          <w:bCs/>
          <w:szCs w:val="28"/>
        </w:rPr>
        <w:t>2、深化产教融合专业学位研究生培养模式改革。一是</w:t>
      </w:r>
      <w:r>
        <w:rPr>
          <w:rFonts w:hint="eastAsia" w:ascii="仿宋" w:hAnsi="仿宋"/>
          <w:szCs w:val="28"/>
        </w:rPr>
        <w:t>推进与行业产业共同制定培养方案，共同开设实践课程，共同编写精品教材。由研究生导师带队到行业产业开展调研实践。加强与行业产业之间的人才交流与共享。</w:t>
      </w:r>
      <w:r>
        <w:rPr>
          <w:rFonts w:hint="eastAsia" w:ascii="仿宋" w:hAnsi="仿宋"/>
          <w:b/>
          <w:bCs/>
          <w:szCs w:val="28"/>
        </w:rPr>
        <w:t>二是</w:t>
      </w:r>
      <w:r>
        <w:rPr>
          <w:rFonts w:hint="eastAsia" w:ascii="仿宋" w:hAnsi="仿宋"/>
          <w:szCs w:val="28"/>
        </w:rPr>
        <w:t>推进设立用人单位“定制化人才培养项目”，将人才培养与用人需求紧密对接。重点依托产教融合型企业，加强对会计专硕研究生实行联合培养。</w:t>
      </w:r>
      <w:r>
        <w:rPr>
          <w:rFonts w:hint="eastAsia" w:ascii="仿宋" w:hAnsi="仿宋"/>
          <w:b/>
          <w:bCs/>
          <w:szCs w:val="28"/>
        </w:rPr>
        <w:t>三是</w:t>
      </w:r>
      <w:r>
        <w:rPr>
          <w:rFonts w:hint="eastAsia" w:ascii="仿宋" w:hAnsi="仿宋"/>
          <w:szCs w:val="28"/>
        </w:rPr>
        <w:t>探索建立产教融合育人联盟，制定标准、交流经验、分享资源。支持培养单位联合行业产业探索实施“专业学位+能力拓展”育人模式，使专业学位研究生在获得学历学位的同时，取得相关行业产业从业资质或实践经验，提升职业胜任能力，提高育人水平。</w:t>
      </w:r>
    </w:p>
    <w:p>
      <w:pPr>
        <w:pStyle w:val="2"/>
        <w:ind w:left="0" w:leftChars="0" w:firstLine="562"/>
        <w:rPr>
          <w:rFonts w:ascii="仿宋" w:hAnsi="仿宋"/>
          <w:szCs w:val="28"/>
        </w:rPr>
      </w:pPr>
      <w:r>
        <w:rPr>
          <w:rFonts w:hint="eastAsia" w:ascii="仿宋" w:hAnsi="仿宋"/>
          <w:b/>
          <w:bCs/>
          <w:szCs w:val="28"/>
        </w:rPr>
        <w:t>3、注重对研究生的培养和考核方式。一是</w:t>
      </w:r>
      <w:r>
        <w:rPr>
          <w:rFonts w:hint="eastAsia" w:ascii="仿宋" w:hAnsi="仿宋"/>
          <w:szCs w:val="28"/>
        </w:rPr>
        <w:t>注重分析、解决实际问题能力的培养。合纵联横，加强教学、科研和政府、中介机构等实务部门的联系，聘请实务部门中的资深人士开设专题讲座或承担部分课程，提升学生分析和解决实务问题的能力。通过所建立的实践教学基地，以专题研究、企业调研实习、科研课题联合攻关等实践性教学环节加强对学生实践应用能力的训练，将职业教育充分融入学历教育中。</w:t>
      </w:r>
      <w:r>
        <w:rPr>
          <w:rFonts w:hint="eastAsia" w:ascii="仿宋" w:hAnsi="仿宋"/>
          <w:b/>
          <w:bCs/>
          <w:szCs w:val="28"/>
        </w:rPr>
        <w:t>二是</w:t>
      </w:r>
      <w:r>
        <w:rPr>
          <w:rFonts w:hint="eastAsia" w:ascii="仿宋" w:hAnsi="仿宋"/>
          <w:szCs w:val="28"/>
        </w:rPr>
        <w:t>注重对实践应用能力的考核。采取作业、案例分析、课堂讨论、考试或撰写专题报告等多种考评方式综合评定学生的学习成绩。</w:t>
      </w:r>
    </w:p>
    <w:p>
      <w:pPr>
        <w:widowControl/>
        <w:ind w:firstLine="562"/>
        <w:jc w:val="left"/>
        <w:rPr>
          <w:rFonts w:ascii="仿宋" w:hAnsi="仿宋"/>
          <w:szCs w:val="28"/>
        </w:rPr>
      </w:pPr>
      <w:r>
        <w:rPr>
          <w:rFonts w:hint="eastAsia" w:ascii="仿宋" w:hAnsi="仿宋"/>
          <w:b/>
          <w:bCs/>
          <w:szCs w:val="28"/>
        </w:rPr>
        <w:t>4、提高科研创新能力。</w:t>
      </w:r>
      <w:r>
        <w:rPr>
          <w:rFonts w:hint="eastAsia" w:ascii="仿宋" w:hAnsi="仿宋"/>
          <w:szCs w:val="28"/>
        </w:rPr>
        <w:t>邀请一些从事过科研工作的教师或者研究生，分享自己的亲身经历，告知学生科研态度严谨的重要性。充分利用对口援疆优势，邀请专家学者就近期研究热点、课题申报、论文写作等内容对教师、学生进行讲座辅导，提高科研创新能力和论文发表质量。</w:t>
      </w:r>
    </w:p>
    <w:p>
      <w:pPr>
        <w:pStyle w:val="2"/>
        <w:ind w:left="0" w:leftChars="0" w:firstLine="560"/>
        <w:rPr>
          <w:rFonts w:ascii="仿宋" w:hAnsi="仿宋"/>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03241"/>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51"/>
    <w:rsid w:val="00024226"/>
    <w:rsid w:val="00043976"/>
    <w:rsid w:val="000569B4"/>
    <w:rsid w:val="00081A58"/>
    <w:rsid w:val="00085213"/>
    <w:rsid w:val="00090131"/>
    <w:rsid w:val="000E0C87"/>
    <w:rsid w:val="000E1BB2"/>
    <w:rsid w:val="000F1103"/>
    <w:rsid w:val="00120970"/>
    <w:rsid w:val="00126CDE"/>
    <w:rsid w:val="001D76C4"/>
    <w:rsid w:val="001E2415"/>
    <w:rsid w:val="001E5EE6"/>
    <w:rsid w:val="001E6E77"/>
    <w:rsid w:val="00201209"/>
    <w:rsid w:val="00217D2C"/>
    <w:rsid w:val="002325DF"/>
    <w:rsid w:val="00233C5C"/>
    <w:rsid w:val="00294915"/>
    <w:rsid w:val="002B6751"/>
    <w:rsid w:val="002E14DD"/>
    <w:rsid w:val="003279BE"/>
    <w:rsid w:val="0034150B"/>
    <w:rsid w:val="00374138"/>
    <w:rsid w:val="00394AB0"/>
    <w:rsid w:val="003D125E"/>
    <w:rsid w:val="00400C7C"/>
    <w:rsid w:val="00455A8B"/>
    <w:rsid w:val="004660FC"/>
    <w:rsid w:val="0051465D"/>
    <w:rsid w:val="005147BC"/>
    <w:rsid w:val="00547960"/>
    <w:rsid w:val="00594797"/>
    <w:rsid w:val="005C1778"/>
    <w:rsid w:val="005F4DB6"/>
    <w:rsid w:val="00606354"/>
    <w:rsid w:val="00632908"/>
    <w:rsid w:val="006475BA"/>
    <w:rsid w:val="00671F7D"/>
    <w:rsid w:val="00677133"/>
    <w:rsid w:val="006D1FD8"/>
    <w:rsid w:val="006F35C1"/>
    <w:rsid w:val="007448C9"/>
    <w:rsid w:val="00750E64"/>
    <w:rsid w:val="007C3D2F"/>
    <w:rsid w:val="007D1DCD"/>
    <w:rsid w:val="007D45F3"/>
    <w:rsid w:val="00823BB2"/>
    <w:rsid w:val="00832832"/>
    <w:rsid w:val="00857080"/>
    <w:rsid w:val="00881CA4"/>
    <w:rsid w:val="008C7A95"/>
    <w:rsid w:val="008F06BF"/>
    <w:rsid w:val="0092712A"/>
    <w:rsid w:val="00942708"/>
    <w:rsid w:val="00986381"/>
    <w:rsid w:val="009C0064"/>
    <w:rsid w:val="009D109B"/>
    <w:rsid w:val="009D3631"/>
    <w:rsid w:val="009E6018"/>
    <w:rsid w:val="00A0352C"/>
    <w:rsid w:val="00A4507E"/>
    <w:rsid w:val="00A515A0"/>
    <w:rsid w:val="00A5635E"/>
    <w:rsid w:val="00A67E0D"/>
    <w:rsid w:val="00A75975"/>
    <w:rsid w:val="00A80006"/>
    <w:rsid w:val="00AC07C1"/>
    <w:rsid w:val="00AC3396"/>
    <w:rsid w:val="00AE6FE9"/>
    <w:rsid w:val="00AF1473"/>
    <w:rsid w:val="00AF55FB"/>
    <w:rsid w:val="00AF711E"/>
    <w:rsid w:val="00BA1E1D"/>
    <w:rsid w:val="00BA2979"/>
    <w:rsid w:val="00BC21F8"/>
    <w:rsid w:val="00BC27BE"/>
    <w:rsid w:val="00BC67B4"/>
    <w:rsid w:val="00BF198F"/>
    <w:rsid w:val="00BF3C5E"/>
    <w:rsid w:val="00C13B79"/>
    <w:rsid w:val="00C146BF"/>
    <w:rsid w:val="00C260A4"/>
    <w:rsid w:val="00C3737F"/>
    <w:rsid w:val="00C50624"/>
    <w:rsid w:val="00C51A02"/>
    <w:rsid w:val="00C707FA"/>
    <w:rsid w:val="00C75AC3"/>
    <w:rsid w:val="00CA31A0"/>
    <w:rsid w:val="00CB0FD1"/>
    <w:rsid w:val="00CC4609"/>
    <w:rsid w:val="00CE2B33"/>
    <w:rsid w:val="00D11FB8"/>
    <w:rsid w:val="00D347E8"/>
    <w:rsid w:val="00D53C58"/>
    <w:rsid w:val="00DA6180"/>
    <w:rsid w:val="00DD40A4"/>
    <w:rsid w:val="00DF02E8"/>
    <w:rsid w:val="00E0432B"/>
    <w:rsid w:val="00E44668"/>
    <w:rsid w:val="00E57DE1"/>
    <w:rsid w:val="00E71420"/>
    <w:rsid w:val="00E77167"/>
    <w:rsid w:val="00E968FF"/>
    <w:rsid w:val="00EC0B31"/>
    <w:rsid w:val="00EC48BD"/>
    <w:rsid w:val="00EC7B20"/>
    <w:rsid w:val="00ED6810"/>
    <w:rsid w:val="00F01687"/>
    <w:rsid w:val="00F03EA1"/>
    <w:rsid w:val="00F22F21"/>
    <w:rsid w:val="00F244A5"/>
    <w:rsid w:val="00F41D71"/>
    <w:rsid w:val="00F74BE3"/>
    <w:rsid w:val="00F754EA"/>
    <w:rsid w:val="00F975C9"/>
    <w:rsid w:val="00FA05D9"/>
    <w:rsid w:val="0C3C4884"/>
    <w:rsid w:val="2959543A"/>
    <w:rsid w:val="2CA62D0A"/>
    <w:rsid w:val="331761E6"/>
    <w:rsid w:val="34A97CDE"/>
    <w:rsid w:val="5F065392"/>
    <w:rsid w:val="6C7F25A0"/>
    <w:rsid w:val="6EFD3CE7"/>
    <w:rsid w:val="76F42926"/>
    <w:rsid w:val="76F51D90"/>
    <w:rsid w:val="7A023C9A"/>
    <w:rsid w:val="7D00301C"/>
    <w:rsid w:val="7ED8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200" w:firstLineChars="200"/>
      <w:jc w:val="both"/>
    </w:pPr>
    <w:rPr>
      <w:rFonts w:ascii="Calibri" w:hAnsi="Calibri" w:eastAsia="仿宋" w:cs="Times New Roman"/>
      <w:kern w:val="2"/>
      <w:sz w:val="28"/>
      <w:szCs w:val="21"/>
      <w:lang w:val="en-US" w:eastAsia="zh-CN" w:bidi="ar-SA"/>
    </w:rPr>
  </w:style>
  <w:style w:type="paragraph" w:styleId="4">
    <w:name w:val="heading 2"/>
    <w:basedOn w:val="1"/>
    <w:next w:val="1"/>
    <w:link w:val="17"/>
    <w:qFormat/>
    <w:uiPriority w:val="1"/>
    <w:pPr>
      <w:outlineLvl w:val="1"/>
    </w:pPr>
    <w:rPr>
      <w:rFonts w:ascii="Microsoft JhengHei" w:hAnsi="Microsoft JhengHei" w:eastAsia="宋体" w:cs="Microsoft JhengHei"/>
      <w:b/>
      <w:bCs/>
      <w:szCs w:val="30"/>
      <w:lang w:val="zh-CN" w:bidi="zh-CN"/>
    </w:rPr>
  </w:style>
  <w:style w:type="paragraph" w:styleId="5">
    <w:name w:val="heading 3"/>
    <w:basedOn w:val="1"/>
    <w:next w:val="1"/>
    <w:link w:val="18"/>
    <w:unhideWhenUsed/>
    <w:qFormat/>
    <w:uiPriority w:val="9"/>
    <w:pPr>
      <w:keepNext/>
      <w:keepLines/>
      <w:spacing w:before="260" w:after="260"/>
      <w:outlineLvl w:val="2"/>
    </w:pPr>
    <w:rPr>
      <w:b/>
      <w:bCs/>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6"/>
    <w:unhideWhenUsed/>
    <w:qFormat/>
    <w:uiPriority w:val="99"/>
    <w:pPr>
      <w:ind w:firstLine="420"/>
    </w:pPr>
  </w:style>
  <w:style w:type="paragraph" w:styleId="3">
    <w:name w:val="Body Text Indent"/>
    <w:basedOn w:val="1"/>
    <w:link w:val="15"/>
    <w:semiHidden/>
    <w:unhideWhenUsed/>
    <w:qFormat/>
    <w:uiPriority w:val="99"/>
    <w:pPr>
      <w:spacing w:after="120"/>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8"/>
    <w:link w:val="7"/>
    <w:qFormat/>
    <w:uiPriority w:val="99"/>
    <w:rPr>
      <w:sz w:val="18"/>
      <w:szCs w:val="18"/>
    </w:rPr>
  </w:style>
  <w:style w:type="character" w:customStyle="1" w:styleId="12">
    <w:name w:val="页脚 字符"/>
    <w:basedOn w:val="8"/>
    <w:link w:val="6"/>
    <w:qFormat/>
    <w:uiPriority w:val="99"/>
    <w:rPr>
      <w:sz w:val="18"/>
      <w:szCs w:val="18"/>
    </w:rPr>
  </w:style>
  <w:style w:type="paragraph" w:customStyle="1" w:styleId="13">
    <w:name w:val="正文首行缩进 21"/>
    <w:basedOn w:val="3"/>
    <w:semiHidden/>
    <w:qFormat/>
    <w:uiPriority w:val="0"/>
    <w:pPr>
      <w:spacing w:before="100" w:beforeAutospacing="1" w:after="100" w:afterAutospacing="1"/>
      <w:ind w:firstLine="420"/>
    </w:pPr>
  </w:style>
  <w:style w:type="paragraph" w:customStyle="1" w:styleId="14">
    <w:name w:val="Table Paragraph"/>
    <w:basedOn w:val="1"/>
    <w:qFormat/>
    <w:uiPriority w:val="1"/>
    <w:rPr>
      <w:rFonts w:ascii="宋体" w:hAnsi="宋体" w:cs="宋体"/>
    </w:rPr>
  </w:style>
  <w:style w:type="character" w:customStyle="1" w:styleId="15">
    <w:name w:val="正文文本缩进 字符"/>
    <w:basedOn w:val="8"/>
    <w:link w:val="3"/>
    <w:semiHidden/>
    <w:qFormat/>
    <w:uiPriority w:val="99"/>
    <w:rPr>
      <w:rFonts w:ascii="Calibri" w:hAnsi="Calibri" w:eastAsia="宋体" w:cs="Times New Roman"/>
      <w:szCs w:val="21"/>
    </w:rPr>
  </w:style>
  <w:style w:type="character" w:customStyle="1" w:styleId="16">
    <w:name w:val="正文文本首行缩进 2 字符"/>
    <w:basedOn w:val="15"/>
    <w:link w:val="2"/>
    <w:semiHidden/>
    <w:qFormat/>
    <w:uiPriority w:val="99"/>
    <w:rPr>
      <w:rFonts w:ascii="Calibri" w:hAnsi="Calibri" w:eastAsia="宋体" w:cs="Times New Roman"/>
      <w:szCs w:val="21"/>
    </w:rPr>
  </w:style>
  <w:style w:type="character" w:customStyle="1" w:styleId="17">
    <w:name w:val="标题 2 字符"/>
    <w:basedOn w:val="8"/>
    <w:link w:val="4"/>
    <w:qFormat/>
    <w:uiPriority w:val="1"/>
    <w:rPr>
      <w:rFonts w:ascii="Microsoft JhengHei" w:hAnsi="Microsoft JhengHei" w:cs="Microsoft JhengHei"/>
      <w:b/>
      <w:bCs/>
      <w:kern w:val="2"/>
      <w:sz w:val="28"/>
      <w:szCs w:val="30"/>
      <w:lang w:val="zh-CN" w:bidi="zh-CN"/>
    </w:rPr>
  </w:style>
  <w:style w:type="character" w:customStyle="1" w:styleId="18">
    <w:name w:val="标题 3 字符"/>
    <w:basedOn w:val="8"/>
    <w:link w:val="5"/>
    <w:qFormat/>
    <w:uiPriority w:val="9"/>
    <w:rPr>
      <w:rFonts w:ascii="Calibri" w:hAnsi="Calibri" w:eastAsia="仿宋"/>
      <w:b/>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2368</Words>
  <Characters>13501</Characters>
  <Lines>112</Lines>
  <Paragraphs>31</Paragraphs>
  <TotalTime>45</TotalTime>
  <ScaleCrop>false</ScaleCrop>
  <LinksUpToDate>false</LinksUpToDate>
  <CharactersWithSpaces>15838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2022-02-28T17:03:00Z</dcterms:created>
  <dc:creator>吴 木南</dc:creator>
  <cp:lastModifiedBy>Administrator</cp:lastModifiedBy>
  <dcterms:modified xsi:type="dcterms:W3CDTF">2022-03-01T02:52:05Z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ADDC68421A1540E6AA68B2F6238062E4</vt:lpwstr>
  </property>
</Properties>
</file>