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附件2</w:t>
      </w:r>
    </w:p>
    <w:p>
      <w:pPr>
        <w:jc w:val="left"/>
        <w:rPr>
          <w:rFonts w:ascii="仿宋_GB2312" w:eastAsia="仿宋_GB2312"/>
          <w:sz w:val="32"/>
          <w:szCs w:val="32"/>
        </w:rPr>
      </w:pPr>
    </w:p>
    <w:p>
      <w:pPr>
        <w:jc w:val="left"/>
        <w:rPr>
          <w:rFonts w:ascii="仿宋_GB2312" w:eastAsia="仿宋_GB2312"/>
          <w:sz w:val="32"/>
          <w:szCs w:val="32"/>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学位授权点建设年度报告</w:t>
      </w:r>
    </w:p>
    <w:p>
      <w:pPr>
        <w:jc w:val="left"/>
        <w:rPr>
          <w:rFonts w:ascii="仿宋_GB2312" w:eastAsia="仿宋_GB2312"/>
          <w:sz w:val="32"/>
          <w:szCs w:val="32"/>
        </w:rPr>
      </w:pPr>
    </w:p>
    <w:p>
      <w:pPr>
        <w:pStyle w:val="2"/>
      </w:pPr>
    </w:p>
    <w:p>
      <w:pPr>
        <w:jc w:val="left"/>
        <w:rPr>
          <w:rFonts w:ascii="仿宋_GB2312" w:eastAsia="仿宋_GB2312"/>
          <w:sz w:val="32"/>
          <w:szCs w:val="32"/>
        </w:rPr>
      </w:pPr>
    </w:p>
    <w:p>
      <w:pPr>
        <w:pStyle w:val="2"/>
      </w:pPr>
    </w:p>
    <w:p>
      <w:pPr>
        <w:jc w:val="left"/>
        <w:rPr>
          <w:rFonts w:ascii="仿宋_GB2312" w:eastAsia="仿宋_GB2312"/>
          <w:sz w:val="32"/>
          <w:szCs w:val="32"/>
        </w:rPr>
      </w:pPr>
    </w:p>
    <w:p>
      <w:pPr>
        <w:jc w:val="left"/>
        <w:rPr>
          <w:rFonts w:ascii="仿宋_GB2312" w:eastAsia="仿宋_GB2312"/>
          <w:sz w:val="32"/>
          <w:szCs w:val="32"/>
        </w:rPr>
      </w:pPr>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3"/>
        <w:gridCol w:w="1335"/>
        <w:gridCol w:w="2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2083" w:type="dxa"/>
            <w:vMerge w:val="restart"/>
            <w:tcBorders>
              <w:right w:val="single" w:color="auto" w:sz="4" w:space="0"/>
            </w:tcBorders>
            <w:vAlign w:val="center"/>
          </w:tcPr>
          <w:p>
            <w:pPr>
              <w:jc w:val="center"/>
              <w:rPr>
                <w:rFonts w:ascii="仿宋_GB2312" w:eastAsia="仿宋_GB2312"/>
                <w:sz w:val="32"/>
                <w:szCs w:val="32"/>
              </w:rPr>
            </w:pPr>
            <w:r>
              <w:rPr>
                <w:rFonts w:hint="eastAsia" w:ascii="仿宋_GB2312" w:eastAsia="仿宋_GB2312"/>
                <w:sz w:val="32"/>
                <w:szCs w:val="32"/>
              </w:rPr>
              <w:t>学位点</w:t>
            </w:r>
          </w:p>
          <w:p>
            <w:pPr>
              <w:jc w:val="center"/>
              <w:rPr>
                <w:rFonts w:ascii="仿宋_GB2312" w:eastAsia="仿宋_GB2312"/>
                <w:sz w:val="32"/>
                <w:szCs w:val="32"/>
              </w:rPr>
            </w:pPr>
            <w:r>
              <w:rPr>
                <w:rFonts w:hint="eastAsia" w:ascii="仿宋_GB2312" w:eastAsia="仿宋_GB2312"/>
                <w:sz w:val="32"/>
                <w:szCs w:val="32"/>
              </w:rPr>
              <w:t>（学院公章）</w:t>
            </w:r>
          </w:p>
        </w:tc>
        <w:tc>
          <w:tcPr>
            <w:tcW w:w="1335" w:type="dxa"/>
            <w:tcBorders>
              <w:left w:val="single" w:color="auto" w:sz="4" w:space="0"/>
              <w:bottom w:val="single" w:color="auto" w:sz="4" w:space="0"/>
            </w:tcBorders>
            <w:vAlign w:val="center"/>
          </w:tcPr>
          <w:p>
            <w:pPr>
              <w:jc w:val="center"/>
              <w:rPr>
                <w:rFonts w:ascii="仿宋_GB2312" w:eastAsia="仿宋_GB2312"/>
                <w:sz w:val="32"/>
                <w:szCs w:val="32"/>
              </w:rPr>
            </w:pPr>
            <w:r>
              <w:rPr>
                <w:rFonts w:hint="eastAsia" w:ascii="仿宋_GB2312" w:eastAsia="仿宋_GB2312"/>
                <w:sz w:val="32"/>
                <w:szCs w:val="32"/>
              </w:rPr>
              <w:t>名称：</w:t>
            </w:r>
          </w:p>
        </w:tc>
        <w:tc>
          <w:tcPr>
            <w:tcW w:w="2655" w:type="dxa"/>
            <w:tcBorders>
              <w:bottom w:val="single" w:color="auto" w:sz="4" w:space="0"/>
            </w:tcBorders>
            <w:vAlign w:val="center"/>
          </w:tcPr>
          <w:p>
            <w:pPr>
              <w:jc w:val="center"/>
              <w:rPr>
                <w:rFonts w:ascii="仿宋_GB2312" w:eastAsia="仿宋_GB2312"/>
                <w:sz w:val="32"/>
                <w:szCs w:val="32"/>
              </w:rPr>
            </w:pPr>
            <w:r>
              <w:rPr>
                <w:rFonts w:hint="eastAsia" w:ascii="仿宋_GB2312" w:eastAsia="仿宋_GB2312"/>
                <w:sz w:val="32"/>
                <w:szCs w:val="32"/>
              </w:rPr>
              <w:t>税务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2083" w:type="dxa"/>
            <w:vMerge w:val="continue"/>
            <w:tcBorders>
              <w:right w:val="single" w:color="auto" w:sz="4" w:space="0"/>
            </w:tcBorders>
            <w:vAlign w:val="center"/>
          </w:tcPr>
          <w:p>
            <w:pPr>
              <w:jc w:val="center"/>
              <w:rPr>
                <w:rFonts w:ascii="仿宋_GB2312" w:eastAsia="仿宋_GB2312"/>
                <w:sz w:val="32"/>
                <w:szCs w:val="32"/>
              </w:rPr>
            </w:pPr>
          </w:p>
        </w:tc>
        <w:tc>
          <w:tcPr>
            <w:tcW w:w="1335" w:type="dxa"/>
            <w:tcBorders>
              <w:top w:val="single" w:color="auto" w:sz="4" w:space="0"/>
              <w:left w:val="single" w:color="auto" w:sz="4" w:space="0"/>
            </w:tcBorders>
            <w:vAlign w:val="center"/>
          </w:tcPr>
          <w:p>
            <w:pPr>
              <w:jc w:val="center"/>
              <w:rPr>
                <w:rFonts w:ascii="仿宋_GB2312" w:eastAsia="仿宋_GB2312"/>
                <w:sz w:val="32"/>
                <w:szCs w:val="32"/>
              </w:rPr>
            </w:pPr>
            <w:r>
              <w:rPr>
                <w:rFonts w:hint="eastAsia" w:ascii="仿宋_GB2312" w:eastAsia="仿宋_GB2312"/>
                <w:sz w:val="32"/>
                <w:szCs w:val="32"/>
              </w:rPr>
              <w:t>代码：</w:t>
            </w:r>
          </w:p>
        </w:tc>
        <w:tc>
          <w:tcPr>
            <w:tcW w:w="2655" w:type="dxa"/>
            <w:tcBorders>
              <w:top w:val="single" w:color="auto" w:sz="4" w:space="0"/>
            </w:tcBorders>
            <w:vAlign w:val="center"/>
          </w:tcPr>
          <w:p>
            <w:pPr>
              <w:jc w:val="center"/>
              <w:rPr>
                <w:rFonts w:ascii="仿宋_GB2312" w:eastAsia="仿宋_GB2312"/>
                <w:sz w:val="32"/>
                <w:szCs w:val="32"/>
              </w:rPr>
            </w:pPr>
            <w:r>
              <w:rPr>
                <w:rFonts w:hint="eastAsia" w:ascii="仿宋_GB2312" w:eastAsia="仿宋_GB2312"/>
                <w:sz w:val="32"/>
                <w:szCs w:val="32"/>
              </w:rPr>
              <w:t>0253</w:t>
            </w:r>
          </w:p>
        </w:tc>
      </w:tr>
    </w:tbl>
    <w:p>
      <w:pPr>
        <w:jc w:val="left"/>
        <w:rPr>
          <w:rFonts w:ascii="仿宋_GB2312" w:eastAsia="仿宋_GB2312"/>
          <w:sz w:val="32"/>
          <w:szCs w:val="32"/>
        </w:rPr>
      </w:pPr>
    </w:p>
    <w:p>
      <w:pPr>
        <w:jc w:val="left"/>
        <w:rPr>
          <w:rFonts w:ascii="仿宋_GB2312" w:eastAsia="仿宋_GB2312"/>
          <w:sz w:val="32"/>
          <w:szCs w:val="32"/>
        </w:rPr>
      </w:pPr>
    </w:p>
    <w:p>
      <w:pPr>
        <w:pStyle w:val="2"/>
      </w:pPr>
    </w:p>
    <w:p>
      <w:pPr>
        <w:jc w:val="center"/>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rPr>
        <w:t xml:space="preserve">2 </w:t>
      </w:r>
      <w:r>
        <w:rPr>
          <w:rFonts w:ascii="仿宋_GB2312" w:eastAsia="仿宋_GB2312"/>
          <w:sz w:val="32"/>
          <w:szCs w:val="32"/>
        </w:rPr>
        <w:t>年</w:t>
      </w:r>
      <w:r>
        <w:rPr>
          <w:rFonts w:hint="eastAsia" w:ascii="仿宋_GB2312" w:eastAsia="仿宋_GB2312"/>
          <w:sz w:val="32"/>
          <w:szCs w:val="32"/>
        </w:rPr>
        <w:t xml:space="preserve"> 2 </w:t>
      </w:r>
      <w:r>
        <w:rPr>
          <w:rFonts w:ascii="仿宋_GB2312" w:eastAsia="仿宋_GB2312"/>
          <w:sz w:val="32"/>
          <w:szCs w:val="32"/>
        </w:rPr>
        <w:t>月</w:t>
      </w:r>
      <w:r>
        <w:rPr>
          <w:rFonts w:hint="eastAsia" w:ascii="仿宋_GB2312" w:eastAsia="仿宋_GB2312"/>
          <w:sz w:val="32"/>
          <w:szCs w:val="32"/>
        </w:rPr>
        <w:t xml:space="preserve">28 </w:t>
      </w:r>
      <w:r>
        <w:rPr>
          <w:rFonts w:ascii="仿宋_GB2312" w:eastAsia="仿宋_GB2312"/>
          <w:sz w:val="32"/>
          <w:szCs w:val="32"/>
        </w:rPr>
        <w:t>日</w:t>
      </w:r>
    </w:p>
    <w:p>
      <w:pPr>
        <w:pStyle w:val="18"/>
        <w:spacing w:after="312" w:afterLines="100" w:line="520" w:lineRule="exact"/>
        <w:jc w:val="center"/>
        <w:rPr>
          <w:rFonts w:ascii="楷体" w:hAnsi="楷体" w:eastAsia="楷体"/>
          <w:color w:val="000000"/>
          <w:sz w:val="28"/>
          <w:szCs w:val="28"/>
        </w:rPr>
      </w:pPr>
    </w:p>
    <w:p>
      <w:pPr>
        <w:rPr>
          <w:rFonts w:ascii="楷体" w:hAnsi="楷体" w:eastAsia="楷体"/>
          <w:color w:val="000000"/>
          <w:sz w:val="28"/>
          <w:szCs w:val="28"/>
        </w:rPr>
      </w:pPr>
    </w:p>
    <w:p>
      <w:pPr>
        <w:pStyle w:val="2"/>
        <w:rPr>
          <w:rFonts w:ascii="楷体" w:hAnsi="楷体" w:eastAsia="楷体"/>
          <w:color w:val="000000"/>
          <w:sz w:val="28"/>
          <w:szCs w:val="28"/>
        </w:rPr>
      </w:pPr>
    </w:p>
    <w:p>
      <w:pPr>
        <w:pStyle w:val="2"/>
        <w:rPr>
          <w:rFonts w:ascii="楷体" w:hAnsi="楷体" w:eastAsia="楷体"/>
          <w:color w:val="000000"/>
          <w:sz w:val="28"/>
          <w:szCs w:val="28"/>
        </w:rPr>
      </w:pPr>
    </w:p>
    <w:p>
      <w:pPr>
        <w:pStyle w:val="2"/>
        <w:rPr>
          <w:rFonts w:ascii="楷体" w:hAnsi="楷体" w:eastAsia="楷体"/>
          <w:color w:val="000000"/>
          <w:sz w:val="28"/>
          <w:szCs w:val="28"/>
        </w:rPr>
      </w:pPr>
    </w:p>
    <w:p>
      <w:pPr>
        <w:rPr>
          <w:rFonts w:ascii="楷体" w:hAnsi="楷体" w:eastAsia="楷体"/>
          <w:bCs/>
          <w:color w:val="000000"/>
          <w:szCs w:val="28"/>
          <w:lang w:val="zh-CN"/>
        </w:rPr>
      </w:pPr>
      <w:bookmarkStart w:id="0" w:name="_Toc15938"/>
      <w:r>
        <w:rPr>
          <w:rFonts w:ascii="楷体" w:hAnsi="楷体" w:eastAsia="楷体"/>
          <w:bCs/>
          <w:color w:val="000000"/>
          <w:szCs w:val="28"/>
          <w:lang w:val="zh-CN"/>
        </w:rPr>
        <w:br w:type="page"/>
      </w:r>
    </w:p>
    <w:p>
      <w:pPr>
        <w:jc w:val="center"/>
      </w:pPr>
      <w:r>
        <w:rPr>
          <w:rFonts w:hint="eastAsia" w:ascii="黑体" w:hAnsi="黑体" w:eastAsia="黑体"/>
          <w:color w:val="000000"/>
          <w:kern w:val="0"/>
          <w:sz w:val="36"/>
          <w:szCs w:val="36"/>
          <w:lang w:val="zh-CN"/>
        </w:rPr>
        <w:t>目录</w:t>
      </w:r>
    </w:p>
    <w:p>
      <w:pPr>
        <w:pStyle w:val="20"/>
        <w:tabs>
          <w:tab w:val="right" w:leader="dot" w:pos="8306"/>
        </w:tabs>
        <w:spacing w:line="440" w:lineRule="exact"/>
        <w:rPr>
          <w:rFonts w:ascii="楷体" w:hAnsi="楷体" w:eastAsia="楷体" w:cs="楷体"/>
          <w:bCs/>
          <w:sz w:val="26"/>
          <w:szCs w:val="26"/>
        </w:rPr>
      </w:pPr>
      <w:r>
        <w:rPr>
          <w:rFonts w:hint="eastAsia" w:ascii="楷体" w:hAnsi="楷体" w:eastAsia="楷体" w:cs="楷体"/>
          <w:sz w:val="26"/>
          <w:szCs w:val="26"/>
          <w:lang w:val="zh-CN"/>
        </w:rPr>
        <w:fldChar w:fldCharType="begin"/>
      </w:r>
      <w:r>
        <w:rPr>
          <w:rFonts w:hint="eastAsia" w:ascii="楷体" w:hAnsi="楷体" w:eastAsia="楷体" w:cs="楷体"/>
          <w:sz w:val="26"/>
          <w:szCs w:val="26"/>
          <w:lang w:val="zh-CN"/>
        </w:rPr>
        <w:instrText xml:space="preserve">TOC \o "1-2" \h \u </w:instrText>
      </w:r>
      <w:r>
        <w:rPr>
          <w:rFonts w:hint="eastAsia" w:ascii="楷体" w:hAnsi="楷体" w:eastAsia="楷体" w:cs="楷体"/>
          <w:sz w:val="26"/>
          <w:szCs w:val="26"/>
          <w:lang w:val="zh-CN"/>
        </w:rPr>
        <w:fldChar w:fldCharType="separate"/>
      </w:r>
      <w:r>
        <w:fldChar w:fldCharType="begin"/>
      </w:r>
      <w:r>
        <w:instrText xml:space="preserve"> HYPERLINK \l "_Toc8617" </w:instrText>
      </w:r>
      <w:r>
        <w:fldChar w:fldCharType="separate"/>
      </w:r>
      <w:r>
        <w:rPr>
          <w:rFonts w:hint="eastAsia" w:ascii="楷体" w:hAnsi="楷体" w:eastAsia="楷体" w:cs="楷体"/>
          <w:bCs/>
          <w:sz w:val="26"/>
          <w:szCs w:val="26"/>
        </w:rPr>
        <w:t>一、总体概况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_Toc8617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21"/>
        <w:tabs>
          <w:tab w:val="right" w:leader="dot" w:pos="8306"/>
        </w:tabs>
        <w:spacing w:line="440" w:lineRule="exact"/>
        <w:ind w:left="420"/>
        <w:rPr>
          <w:rFonts w:ascii="楷体" w:hAnsi="楷体" w:eastAsia="楷体" w:cs="楷体"/>
          <w:bCs/>
          <w:sz w:val="26"/>
          <w:szCs w:val="26"/>
        </w:rPr>
      </w:pPr>
      <w:r>
        <w:fldChar w:fldCharType="begin"/>
      </w:r>
      <w:r>
        <w:instrText xml:space="preserve"> HYPERLINK \l "_Toc5215" </w:instrText>
      </w:r>
      <w:r>
        <w:fldChar w:fldCharType="separate"/>
      </w:r>
      <w:r>
        <w:rPr>
          <w:rFonts w:hint="eastAsia" w:ascii="楷体" w:hAnsi="楷体" w:eastAsia="楷体" w:cs="楷体"/>
          <w:bCs/>
          <w:sz w:val="26"/>
          <w:szCs w:val="26"/>
        </w:rPr>
        <w:t>（一）学位授权点基本情况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_Toc5215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21"/>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"_Toc2499" </w:instrText>
      </w:r>
      <w:r>
        <w:fldChar w:fldCharType="separate"/>
      </w:r>
      <w:r>
        <w:rPr>
          <w:rFonts w:hint="eastAsia" w:ascii="楷体" w:hAnsi="楷体" w:eastAsia="楷体" w:cs="楷体"/>
          <w:bCs/>
          <w:sz w:val="26"/>
          <w:szCs w:val="26"/>
        </w:rPr>
        <w:t>（二）学科建设情况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_Toc2499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21"/>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"_Toc23472" </w:instrText>
      </w:r>
      <w:r>
        <w:fldChar w:fldCharType="separate"/>
      </w:r>
      <w:r>
        <w:rPr>
          <w:rFonts w:hint="eastAsia" w:ascii="楷体" w:hAnsi="楷体" w:eastAsia="楷体" w:cs="楷体"/>
          <w:bCs/>
          <w:sz w:val="26"/>
          <w:szCs w:val="26"/>
        </w:rPr>
        <w:t>（三）研究生基本状况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_Toc23472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2</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21"/>
        <w:tabs>
          <w:tab w:val="right" w:leader="dot" w:pos="8306"/>
        </w:tabs>
        <w:spacing w:line="440" w:lineRule="exact"/>
        <w:ind w:left="420"/>
        <w:rPr>
          <w:rFonts w:ascii="楷体" w:hAnsi="楷体" w:eastAsia="楷体" w:cs="楷体"/>
          <w:bCs/>
          <w:sz w:val="26"/>
          <w:szCs w:val="26"/>
        </w:rPr>
      </w:pPr>
      <w:r>
        <w:fldChar w:fldCharType="begin"/>
      </w:r>
      <w:r>
        <w:instrText xml:space="preserve"> HYPERLINK \l "_Toc16265" </w:instrText>
      </w:r>
      <w:r>
        <w:fldChar w:fldCharType="separate"/>
      </w:r>
      <w:r>
        <w:rPr>
          <w:rFonts w:hint="eastAsia" w:ascii="楷体" w:hAnsi="楷体" w:eastAsia="楷体" w:cs="楷体"/>
          <w:bCs/>
          <w:sz w:val="26"/>
          <w:szCs w:val="26"/>
        </w:rPr>
        <w:t>（四）研究生导师状况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_Toc16265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5</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20"/>
        <w:tabs>
          <w:tab w:val="right" w:leader="dot" w:pos="8306"/>
        </w:tabs>
        <w:spacing w:line="440" w:lineRule="exact"/>
        <w:rPr>
          <w:rFonts w:ascii="楷体" w:hAnsi="楷体" w:eastAsia="楷体" w:cs="楷体"/>
          <w:bCs/>
          <w:sz w:val="26"/>
          <w:szCs w:val="26"/>
        </w:rPr>
      </w:pPr>
      <w:r>
        <w:fldChar w:fldCharType="begin"/>
      </w:r>
      <w:r>
        <w:instrText xml:space="preserve"> HYPERLINK \l "_Toc30546" </w:instrText>
      </w:r>
      <w:r>
        <w:fldChar w:fldCharType="separate"/>
      </w:r>
      <w:r>
        <w:rPr>
          <w:rFonts w:hint="eastAsia" w:ascii="楷体" w:hAnsi="楷体" w:eastAsia="楷体" w:cs="楷体"/>
          <w:bCs/>
          <w:sz w:val="26"/>
          <w:szCs w:val="26"/>
        </w:rPr>
        <w:t>二、研究生党建与思想政治教育工作</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_Toc30546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6</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21"/>
        <w:tabs>
          <w:tab w:val="right" w:leader="dot" w:pos="8306"/>
        </w:tabs>
        <w:spacing w:line="440" w:lineRule="exact"/>
        <w:ind w:left="420"/>
        <w:rPr>
          <w:rFonts w:ascii="楷体" w:hAnsi="楷体" w:eastAsia="楷体" w:cs="楷体"/>
          <w:bCs/>
          <w:sz w:val="26"/>
          <w:szCs w:val="26"/>
        </w:rPr>
      </w:pPr>
      <w:r>
        <w:fldChar w:fldCharType="begin"/>
      </w:r>
      <w:r>
        <w:instrText xml:space="preserve"> HYPERLINK \l "_Toc5479" </w:instrText>
      </w:r>
      <w:r>
        <w:fldChar w:fldCharType="separate"/>
      </w:r>
      <w:r>
        <w:rPr>
          <w:rFonts w:hint="eastAsia" w:ascii="楷体" w:hAnsi="楷体" w:eastAsia="楷体" w:cs="楷体"/>
          <w:bCs/>
          <w:sz w:val="26"/>
          <w:szCs w:val="26"/>
        </w:rPr>
        <w:t>（一）思想政治教育队伍建设</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_Toc5479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6</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21"/>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"_Toc23688" </w:instrText>
      </w:r>
      <w:r>
        <w:fldChar w:fldCharType="separate"/>
      </w:r>
      <w:r>
        <w:rPr>
          <w:rFonts w:hint="eastAsia" w:ascii="楷体" w:hAnsi="楷体" w:eastAsia="楷体" w:cs="楷体"/>
          <w:bCs/>
          <w:sz w:val="26"/>
          <w:szCs w:val="26"/>
        </w:rPr>
        <w:t>（二）理想信念和社会主义核心价值观教育</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_Toc23688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6</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21"/>
        <w:tabs>
          <w:tab w:val="right" w:leader="dot" w:pos="8306"/>
        </w:tabs>
        <w:spacing w:line="440" w:lineRule="exact"/>
        <w:ind w:left="420"/>
        <w:rPr>
          <w:rFonts w:ascii="楷体" w:hAnsi="楷体" w:eastAsia="楷体" w:cs="楷体"/>
          <w:bCs/>
          <w:sz w:val="26"/>
          <w:szCs w:val="26"/>
        </w:rPr>
      </w:pPr>
      <w:r>
        <w:fldChar w:fldCharType="begin"/>
      </w:r>
      <w:r>
        <w:instrText xml:space="preserve"> HYPERLINK \l "_Toc3579" </w:instrText>
      </w:r>
      <w:r>
        <w:fldChar w:fldCharType="separate"/>
      </w:r>
      <w:r>
        <w:rPr>
          <w:rFonts w:hint="eastAsia" w:ascii="楷体" w:hAnsi="楷体" w:eastAsia="楷体" w:cs="楷体"/>
          <w:bCs/>
          <w:sz w:val="26"/>
          <w:szCs w:val="26"/>
        </w:rPr>
        <w:t>（三）校园文化建设</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_Toc3579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7</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21"/>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"_Toc25678" </w:instrText>
      </w:r>
      <w:r>
        <w:fldChar w:fldCharType="separate"/>
      </w:r>
      <w:r>
        <w:rPr>
          <w:rFonts w:hint="eastAsia" w:ascii="楷体" w:hAnsi="楷体" w:eastAsia="楷体" w:cs="楷体"/>
          <w:bCs/>
          <w:sz w:val="26"/>
          <w:szCs w:val="26"/>
        </w:rPr>
        <w:t>（四）日常管理服务工作</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_Toc25678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7</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20"/>
        <w:tabs>
          <w:tab w:val="right" w:leader="dot" w:pos="8306"/>
        </w:tabs>
        <w:spacing w:line="440" w:lineRule="exact"/>
        <w:rPr>
          <w:rFonts w:ascii="楷体" w:hAnsi="楷体" w:eastAsia="楷体" w:cs="楷体"/>
          <w:bCs/>
          <w:sz w:val="26"/>
          <w:szCs w:val="26"/>
        </w:rPr>
      </w:pPr>
      <w:r>
        <w:fldChar w:fldCharType="begin"/>
      </w:r>
      <w:r>
        <w:instrText xml:space="preserve"> HYPERLINK \l "_Toc25532" </w:instrText>
      </w:r>
      <w:r>
        <w:fldChar w:fldCharType="separate"/>
      </w:r>
      <w:r>
        <w:rPr>
          <w:rFonts w:hint="eastAsia" w:ascii="楷体" w:hAnsi="楷体" w:eastAsia="楷体" w:cs="楷体"/>
          <w:bCs/>
          <w:sz w:val="26"/>
          <w:szCs w:val="26"/>
        </w:rPr>
        <w:t>三、研究生培养相关制度及执行情况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_Toc25532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8</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21"/>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"_Toc22254" </w:instrText>
      </w:r>
      <w:r>
        <w:fldChar w:fldCharType="separate"/>
      </w:r>
      <w:r>
        <w:rPr>
          <w:rFonts w:hint="eastAsia" w:ascii="楷体" w:hAnsi="楷体" w:eastAsia="楷体" w:cs="楷体"/>
          <w:bCs/>
          <w:sz w:val="26"/>
          <w:szCs w:val="26"/>
        </w:rPr>
        <w:t>（一）课程建设与实施情况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_Toc22254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8</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21"/>
        <w:tabs>
          <w:tab w:val="right" w:leader="dot" w:pos="8306"/>
        </w:tabs>
        <w:spacing w:line="440" w:lineRule="exact"/>
        <w:ind w:left="420"/>
        <w:rPr>
          <w:rFonts w:ascii="楷体" w:hAnsi="楷体" w:eastAsia="楷体" w:cs="楷体"/>
          <w:bCs/>
          <w:sz w:val="26"/>
          <w:szCs w:val="26"/>
        </w:rPr>
      </w:pPr>
      <w:r>
        <w:fldChar w:fldCharType="begin"/>
      </w:r>
      <w:r>
        <w:instrText xml:space="preserve"> HYPERLINK \l "_Toc16615" </w:instrText>
      </w:r>
      <w:r>
        <w:fldChar w:fldCharType="separate"/>
      </w:r>
      <w:r>
        <w:rPr>
          <w:rFonts w:hint="eastAsia" w:ascii="楷体" w:hAnsi="楷体" w:eastAsia="楷体" w:cs="楷体"/>
          <w:bCs/>
          <w:sz w:val="26"/>
          <w:szCs w:val="26"/>
        </w:rPr>
        <w:t>（二）导师选拔培训、师德师风建设情况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_Toc16615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9</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21"/>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"_Toc21204" </w:instrText>
      </w:r>
      <w:r>
        <w:fldChar w:fldCharType="separate"/>
      </w:r>
      <w:r>
        <w:rPr>
          <w:rFonts w:hint="eastAsia" w:ascii="楷体" w:hAnsi="楷体" w:eastAsia="楷体" w:cs="楷体"/>
          <w:bCs/>
          <w:sz w:val="26"/>
          <w:szCs w:val="26"/>
        </w:rPr>
        <w:t>（三）学术训练情况、学术交流情况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_Toc21204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11</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21"/>
        <w:tabs>
          <w:tab w:val="right" w:leader="dot" w:pos="8306"/>
        </w:tabs>
        <w:spacing w:line="440" w:lineRule="exact"/>
        <w:ind w:left="420"/>
        <w:rPr>
          <w:rFonts w:ascii="楷体" w:hAnsi="楷体" w:eastAsia="楷体" w:cs="楷体"/>
          <w:bCs/>
          <w:sz w:val="26"/>
          <w:szCs w:val="26"/>
        </w:rPr>
      </w:pPr>
      <w:r>
        <w:fldChar w:fldCharType="begin"/>
      </w:r>
      <w:r>
        <w:instrText xml:space="preserve"> HYPERLINK \l "_Toc17476" </w:instrText>
      </w:r>
      <w:r>
        <w:fldChar w:fldCharType="separate"/>
      </w:r>
      <w:r>
        <w:rPr>
          <w:rFonts w:hint="eastAsia" w:ascii="楷体" w:hAnsi="楷体" w:eastAsia="楷体" w:cs="楷体"/>
          <w:bCs/>
          <w:sz w:val="26"/>
          <w:szCs w:val="26"/>
        </w:rPr>
        <w:t>（四）研究生奖助情况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_Toc17476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14</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20"/>
        <w:tabs>
          <w:tab w:val="right" w:leader="dot" w:pos="8306"/>
        </w:tabs>
        <w:spacing w:line="440" w:lineRule="exact"/>
        <w:rPr>
          <w:rFonts w:ascii="楷体" w:hAnsi="楷体" w:eastAsia="楷体" w:cs="楷体"/>
          <w:bCs/>
          <w:sz w:val="26"/>
          <w:szCs w:val="26"/>
        </w:rPr>
      </w:pPr>
      <w:r>
        <w:fldChar w:fldCharType="begin"/>
      </w:r>
      <w:r>
        <w:instrText xml:space="preserve"> HYPERLINK \l "_Toc11069" </w:instrText>
      </w:r>
      <w:r>
        <w:fldChar w:fldCharType="separate"/>
      </w:r>
      <w:r>
        <w:rPr>
          <w:rFonts w:hint="eastAsia" w:ascii="楷体" w:hAnsi="楷体" w:eastAsia="楷体" w:cs="楷体"/>
          <w:bCs/>
          <w:sz w:val="26"/>
          <w:szCs w:val="26"/>
        </w:rPr>
        <w:t>四、研究生教育改革情况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_Toc11069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15</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21"/>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"_Toc29094" </w:instrText>
      </w:r>
      <w:r>
        <w:fldChar w:fldCharType="separate"/>
      </w:r>
      <w:r>
        <w:rPr>
          <w:rFonts w:hint="eastAsia" w:ascii="楷体" w:hAnsi="楷体" w:eastAsia="楷体" w:cs="楷体"/>
          <w:bCs/>
          <w:sz w:val="26"/>
          <w:szCs w:val="26"/>
        </w:rPr>
        <w:t>（一）人才培养</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_Toc29094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15</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21"/>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"_Toc25824" </w:instrText>
      </w:r>
      <w:r>
        <w:fldChar w:fldCharType="separate"/>
      </w:r>
      <w:r>
        <w:rPr>
          <w:rFonts w:hint="eastAsia" w:ascii="楷体" w:hAnsi="楷体" w:eastAsia="楷体" w:cs="楷体"/>
          <w:bCs/>
          <w:sz w:val="26"/>
          <w:szCs w:val="26"/>
        </w:rPr>
        <w:t>（二）教师队伍建设</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_Toc25824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15</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21"/>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"_Toc20097" </w:instrText>
      </w:r>
      <w:r>
        <w:fldChar w:fldCharType="separate"/>
      </w:r>
      <w:r>
        <w:rPr>
          <w:rFonts w:hint="eastAsia" w:ascii="楷体" w:hAnsi="楷体" w:eastAsia="楷体" w:cs="楷体"/>
          <w:bCs/>
          <w:sz w:val="26"/>
          <w:szCs w:val="26"/>
        </w:rPr>
        <w:t>（三）科学研究</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_Toc20097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16</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21"/>
        <w:tabs>
          <w:tab w:val="right" w:leader="dot" w:pos="8306"/>
        </w:tabs>
        <w:spacing w:line="440" w:lineRule="exact"/>
        <w:ind w:left="420"/>
        <w:rPr>
          <w:rFonts w:ascii="楷体" w:hAnsi="楷体" w:eastAsia="楷体" w:cs="楷体"/>
          <w:bCs/>
          <w:sz w:val="26"/>
          <w:szCs w:val="26"/>
        </w:rPr>
      </w:pPr>
      <w:r>
        <w:fldChar w:fldCharType="begin"/>
      </w:r>
      <w:r>
        <w:instrText xml:space="preserve"> HYPERLINK \l "_Toc17315" </w:instrText>
      </w:r>
      <w:r>
        <w:fldChar w:fldCharType="separate"/>
      </w:r>
      <w:r>
        <w:rPr>
          <w:rFonts w:hint="eastAsia" w:ascii="楷体" w:hAnsi="楷体" w:eastAsia="楷体" w:cs="楷体"/>
          <w:bCs/>
          <w:sz w:val="26"/>
          <w:szCs w:val="26"/>
        </w:rPr>
        <w:t>（四）</w:t>
      </w:r>
      <w:r>
        <w:rPr>
          <w:rFonts w:hint="eastAsia" w:ascii="楷体" w:hAnsi="楷体" w:eastAsia="楷体" w:cs="楷体"/>
          <w:bCs/>
          <w:kern w:val="2"/>
          <w:sz w:val="26"/>
          <w:szCs w:val="26"/>
          <w:lang w:val="zh-TW" w:eastAsia="zh-TW"/>
        </w:rPr>
        <w:t>国际合作交流等方面的改革创新情况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_Toc17315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16</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20"/>
        <w:tabs>
          <w:tab w:val="right" w:leader="dot" w:pos="8306"/>
        </w:tabs>
        <w:spacing w:line="440" w:lineRule="exact"/>
        <w:rPr>
          <w:rFonts w:ascii="楷体" w:hAnsi="楷体" w:eastAsia="楷体" w:cs="楷体"/>
          <w:bCs/>
          <w:sz w:val="26"/>
          <w:szCs w:val="26"/>
        </w:rPr>
      </w:pPr>
      <w:r>
        <w:fldChar w:fldCharType="begin"/>
      </w:r>
      <w:r>
        <w:instrText xml:space="preserve"> HYPERLINK \l "_Toc6750" </w:instrText>
      </w:r>
      <w:r>
        <w:fldChar w:fldCharType="separate"/>
      </w:r>
      <w:r>
        <w:rPr>
          <w:rFonts w:hint="eastAsia" w:ascii="楷体" w:hAnsi="楷体" w:eastAsia="楷体" w:cs="楷体"/>
          <w:bCs/>
          <w:sz w:val="26"/>
          <w:szCs w:val="26"/>
        </w:rPr>
        <w:t>五、教育质量评估与分析</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_Toc6750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16</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21"/>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"_Toc20283" </w:instrText>
      </w:r>
      <w:r>
        <w:fldChar w:fldCharType="separate"/>
      </w:r>
      <w:r>
        <w:rPr>
          <w:rFonts w:hint="eastAsia" w:ascii="楷体" w:hAnsi="楷体" w:eastAsia="楷体" w:cs="楷体"/>
          <w:bCs/>
          <w:sz w:val="26"/>
          <w:szCs w:val="26"/>
        </w:rPr>
        <w:t>（一）评估进展及问题分析</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_Toc20283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17</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21"/>
        <w:tabs>
          <w:tab w:val="right" w:leader="dot" w:pos="8306"/>
        </w:tabs>
        <w:spacing w:line="440" w:lineRule="exact"/>
        <w:ind w:left="420"/>
        <w:rPr>
          <w:rFonts w:ascii="楷体" w:hAnsi="楷体" w:eastAsia="楷体" w:cs="楷体"/>
          <w:bCs/>
          <w:sz w:val="26"/>
          <w:szCs w:val="26"/>
        </w:rPr>
      </w:pPr>
      <w:r>
        <w:fldChar w:fldCharType="begin"/>
      </w:r>
      <w:r>
        <w:instrText xml:space="preserve"> HYPERLINK \l "_Toc13095" </w:instrText>
      </w:r>
      <w:r>
        <w:fldChar w:fldCharType="separate"/>
      </w:r>
      <w:r>
        <w:rPr>
          <w:rFonts w:hint="eastAsia" w:ascii="楷体" w:hAnsi="楷体" w:eastAsia="楷体" w:cs="楷体"/>
          <w:bCs/>
          <w:sz w:val="26"/>
          <w:szCs w:val="26"/>
        </w:rPr>
        <w:t>（二）学位论文抽检情况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_Toc13095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17</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20"/>
        <w:tabs>
          <w:tab w:val="right" w:leader="dot" w:pos="8306"/>
        </w:tabs>
        <w:spacing w:line="440" w:lineRule="exact"/>
        <w:rPr>
          <w:rFonts w:ascii="楷体" w:hAnsi="楷体" w:eastAsia="楷体" w:cs="楷体"/>
          <w:bCs/>
          <w:sz w:val="26"/>
          <w:szCs w:val="26"/>
        </w:rPr>
      </w:pPr>
      <w:r>
        <w:fldChar w:fldCharType="begin"/>
      </w:r>
      <w:r>
        <w:instrText xml:space="preserve"> HYPERLINK \l "_Toc14032" </w:instrText>
      </w:r>
      <w:r>
        <w:fldChar w:fldCharType="separate"/>
      </w:r>
      <w:r>
        <w:rPr>
          <w:rFonts w:hint="eastAsia" w:ascii="楷体" w:hAnsi="楷体" w:eastAsia="楷体" w:cs="楷体"/>
          <w:bCs/>
          <w:sz w:val="26"/>
          <w:szCs w:val="26"/>
        </w:rPr>
        <w:t>六、改进措施</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_Toc14032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17</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21"/>
        <w:tabs>
          <w:tab w:val="right" w:leader="dot" w:pos="8306"/>
        </w:tabs>
        <w:spacing w:line="440" w:lineRule="exact"/>
        <w:ind w:left="420"/>
        <w:rPr>
          <w:rFonts w:ascii="楷体" w:hAnsi="楷体" w:eastAsia="楷体" w:cs="楷体"/>
          <w:bCs/>
          <w:sz w:val="26"/>
          <w:szCs w:val="26"/>
        </w:rPr>
      </w:pPr>
      <w:r>
        <w:fldChar w:fldCharType="begin"/>
      </w:r>
      <w:r>
        <w:instrText xml:space="preserve"> HYPERLINK \l "_Toc14525" </w:instrText>
      </w:r>
      <w:r>
        <w:fldChar w:fldCharType="separate"/>
      </w:r>
      <w:r>
        <w:rPr>
          <w:rFonts w:hint="eastAsia" w:ascii="楷体" w:hAnsi="楷体" w:eastAsia="楷体" w:cs="楷体"/>
          <w:bCs/>
          <w:sz w:val="26"/>
          <w:szCs w:val="26"/>
        </w:rPr>
        <w:t>（一）</w:t>
      </w:r>
      <w:r>
        <w:rPr>
          <w:rFonts w:hint="eastAsia" w:ascii="楷体" w:hAnsi="楷体" w:eastAsia="楷体" w:cs="楷体"/>
          <w:bCs/>
          <w:sz w:val="26"/>
          <w:szCs w:val="26"/>
          <w:lang w:eastAsia="zh-CN"/>
        </w:rPr>
        <w:t>持续</w:t>
      </w:r>
      <w:r>
        <w:rPr>
          <w:rFonts w:hint="eastAsia" w:ascii="楷体" w:hAnsi="楷体" w:eastAsia="楷体" w:cs="楷体"/>
          <w:bCs/>
          <w:sz w:val="26"/>
          <w:szCs w:val="26"/>
        </w:rPr>
        <w:t>加强师资队伍建设</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_Toc14525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17</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21"/>
        <w:tabs>
          <w:tab w:val="right" w:leader="dot" w:pos="8306"/>
        </w:tabs>
        <w:spacing w:line="440" w:lineRule="exact"/>
        <w:ind w:left="420"/>
        <w:rPr>
          <w:rFonts w:ascii="楷体" w:hAnsi="楷体" w:eastAsia="楷体" w:cs="楷体"/>
          <w:bCs/>
          <w:sz w:val="26"/>
          <w:szCs w:val="26"/>
        </w:rPr>
      </w:pPr>
      <w:r>
        <w:fldChar w:fldCharType="begin"/>
      </w:r>
      <w:r>
        <w:instrText xml:space="preserve"> HYPERLINK \l "_Toc31402" </w:instrText>
      </w:r>
      <w:r>
        <w:fldChar w:fldCharType="separate"/>
      </w:r>
      <w:r>
        <w:rPr>
          <w:rFonts w:hint="eastAsia" w:ascii="楷体" w:hAnsi="楷体" w:eastAsia="楷体" w:cs="楷体"/>
          <w:bCs/>
          <w:sz w:val="26"/>
          <w:szCs w:val="26"/>
        </w:rPr>
        <w:t>（二）强化本学位点的培养特色</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_Toc31402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18</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21"/>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"_Toc21109" </w:instrText>
      </w:r>
      <w:r>
        <w:fldChar w:fldCharType="separate"/>
      </w:r>
      <w:r>
        <w:rPr>
          <w:rFonts w:hint="eastAsia" w:ascii="楷体" w:hAnsi="楷体" w:eastAsia="楷体" w:cs="楷体"/>
          <w:bCs/>
          <w:sz w:val="26"/>
          <w:szCs w:val="26"/>
        </w:rPr>
        <w:t>（三）多出精品科研、扩大社会影响力</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_Toc21109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18</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21"/>
        <w:tabs>
          <w:tab w:val="right" w:leader="dot" w:pos="8306"/>
        </w:tabs>
        <w:spacing w:line="440" w:lineRule="exact"/>
        <w:ind w:left="420"/>
        <w:rPr>
          <w:rFonts w:ascii="楷体" w:hAnsi="楷体" w:eastAsia="楷体" w:cs="楷体"/>
          <w:sz w:val="26"/>
          <w:szCs w:val="26"/>
        </w:rPr>
      </w:pPr>
      <w:r>
        <w:fldChar w:fldCharType="begin"/>
      </w:r>
      <w:r>
        <w:instrText xml:space="preserve"> HYPERLINK \l "_Toc21589" </w:instrText>
      </w:r>
      <w:r>
        <w:fldChar w:fldCharType="separate"/>
      </w:r>
      <w:r>
        <w:rPr>
          <w:rFonts w:hint="eastAsia" w:ascii="楷体" w:hAnsi="楷体" w:eastAsia="楷体" w:cs="楷体"/>
          <w:bCs/>
          <w:sz w:val="26"/>
          <w:szCs w:val="26"/>
        </w:rPr>
        <w:t>（四）加大招生宣传力度</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_Toc21589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18</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spacing w:line="440" w:lineRule="exact"/>
        <w:rPr>
          <w:lang w:val="zh-CN"/>
        </w:rPr>
      </w:pPr>
      <w:r>
        <w:rPr>
          <w:rFonts w:hint="eastAsia" w:ascii="楷体" w:hAnsi="楷体" w:eastAsia="楷体" w:cs="楷体"/>
          <w:b/>
          <w:sz w:val="26"/>
          <w:szCs w:val="26"/>
          <w:lang w:val="zh-CN"/>
        </w:rPr>
        <w:fldChar w:fldCharType="end"/>
      </w:r>
    </w:p>
    <w:p>
      <w:pPr>
        <w:pStyle w:val="11"/>
        <w:tabs>
          <w:tab w:val="right" w:leader="dot" w:pos="8302"/>
        </w:tabs>
        <w:spacing w:line="360" w:lineRule="auto"/>
        <w:ind w:firstLine="560" w:firstLineChars="200"/>
        <w:rPr>
          <w:rFonts w:ascii="黑体" w:hAnsi="黑体" w:eastAsia="黑体"/>
          <w:sz w:val="28"/>
          <w:szCs w:val="28"/>
        </w:rPr>
        <w:sectPr>
          <w:footerReference r:id="rId3" w:type="default"/>
          <w:pgSz w:w="11906" w:h="16838"/>
          <w:pgMar w:top="1440" w:right="1800" w:bottom="1440" w:left="1800" w:header="851" w:footer="992" w:gutter="0"/>
          <w:pgNumType w:start="1"/>
          <w:cols w:space="425" w:num="1"/>
          <w:docGrid w:type="lines" w:linePitch="312" w:charSpace="0"/>
        </w:sectPr>
      </w:pPr>
    </w:p>
    <w:p>
      <w:pPr>
        <w:pStyle w:val="11"/>
        <w:tabs>
          <w:tab w:val="right" w:leader="dot" w:pos="8302"/>
        </w:tabs>
        <w:spacing w:line="360" w:lineRule="auto"/>
        <w:ind w:firstLine="560" w:firstLineChars="200"/>
        <w:outlineLvl w:val="0"/>
        <w:rPr>
          <w:rFonts w:ascii="黑体" w:hAnsi="黑体" w:eastAsia="黑体"/>
          <w:sz w:val="28"/>
          <w:szCs w:val="28"/>
        </w:rPr>
      </w:pPr>
      <w:bookmarkStart w:id="1" w:name="_Toc8617"/>
      <w:bookmarkStart w:id="2" w:name="_Toc19522"/>
      <w:r>
        <w:rPr>
          <w:rFonts w:hint="eastAsia" w:ascii="黑体" w:hAnsi="黑体" w:eastAsia="黑体"/>
          <w:sz w:val="28"/>
          <w:szCs w:val="28"/>
        </w:rPr>
        <w:t>一、总体概况</w:t>
      </w:r>
      <w:bookmarkEnd w:id="0"/>
      <w:bookmarkEnd w:id="1"/>
      <w:bookmarkEnd w:id="2"/>
    </w:p>
    <w:p>
      <w:pPr>
        <w:pStyle w:val="19"/>
        <w:snapToGrid w:val="0"/>
        <w:spacing w:line="360" w:lineRule="auto"/>
        <w:ind w:firstLine="560" w:firstLineChars="200"/>
        <w:rPr>
          <w:rFonts w:ascii="宋体" w:hAnsi="宋体" w:cs="宋体"/>
          <w:color w:val="000000"/>
          <w:sz w:val="28"/>
          <w:szCs w:val="28"/>
        </w:rPr>
      </w:pPr>
      <w:r>
        <w:rPr>
          <w:rFonts w:ascii="宋体" w:hAnsi="宋体" w:cs="宋体"/>
          <w:color w:val="000000"/>
          <w:sz w:val="28"/>
          <w:szCs w:val="28"/>
        </w:rPr>
        <w:t>学位授权点基本情况，学科建设情况，研究生招生、在读、毕业、学位授予及就业基本状况，研究生导师状况(总体规模、队伍结构)。</w:t>
      </w:r>
    </w:p>
    <w:p>
      <w:pPr>
        <w:spacing w:line="360" w:lineRule="auto"/>
        <w:ind w:firstLine="562" w:firstLineChars="200"/>
        <w:jc w:val="left"/>
        <w:outlineLvl w:val="1"/>
        <w:rPr>
          <w:rFonts w:ascii="仿宋_GB2312" w:eastAsia="仿宋_GB2312"/>
          <w:sz w:val="32"/>
          <w:szCs w:val="32"/>
        </w:rPr>
      </w:pPr>
      <w:bookmarkStart w:id="3" w:name="_Toc5215"/>
      <w:bookmarkStart w:id="4" w:name="_Toc18554"/>
      <w:r>
        <w:rPr>
          <w:rFonts w:hint="eastAsia" w:ascii="宋体" w:hAnsi="宋体" w:cs="宋体"/>
          <w:b/>
          <w:bCs/>
          <w:color w:val="000000"/>
          <w:kern w:val="0"/>
          <w:sz w:val="28"/>
          <w:szCs w:val="28"/>
        </w:rPr>
        <w:t>（一）学位授权点基本情况</w:t>
      </w:r>
      <w:bookmarkEnd w:id="3"/>
      <w:bookmarkEnd w:id="4"/>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新疆财经大学是新疆维吾尔区重点建设的五所大学之一，是应用经济学一级学科博士授权单位，拥有理论经济学、应用经济学、工商管理等五个一级学科硕士学位授予权和金融、统计、工商管理等13个专业硕士学位授权点。1998年获批财政学（含税收学）硕士学位授予权并开始招生，2011年获批税务专业硕士学位授权点。</w:t>
      </w:r>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作为新疆唯一一所具有税</w:t>
      </w:r>
      <w:bookmarkStart w:id="73" w:name="_GoBack"/>
      <w:bookmarkEnd w:id="73"/>
      <w:r>
        <w:rPr>
          <w:rFonts w:hint="eastAsia" w:ascii="宋体" w:hAnsi="宋体" w:cs="宋体"/>
          <w:color w:val="000000"/>
          <w:sz w:val="28"/>
          <w:szCs w:val="28"/>
        </w:rPr>
        <w:t>收学本科专业和税务专业硕士研究生培养资格的高校，本学位点自获批以来，以培养社会需要的税收专业高级人才为己任，依托培养单位财政学学科</w:t>
      </w:r>
      <w:r>
        <w:rPr>
          <w:rFonts w:ascii="宋体" w:hAnsi="宋体" w:cs="宋体"/>
          <w:color w:val="000000"/>
          <w:sz w:val="28"/>
          <w:szCs w:val="28"/>
        </w:rPr>
        <w:t>70</w:t>
      </w:r>
      <w:r>
        <w:rPr>
          <w:rFonts w:hint="eastAsia" w:ascii="宋体" w:hAnsi="宋体" w:cs="宋体"/>
          <w:color w:val="000000"/>
          <w:sz w:val="28"/>
          <w:szCs w:val="28"/>
        </w:rPr>
        <w:t>多年办学历史的优势，借助与自治区国税局、财政厅等单位共同建立的产学研基地，紧扣建设目标，加强师资队伍建设，完善人才培养和制度建设体系，构建了完整的税务专业硕士人才培养体系，形成了较为完备的培养平台。</w:t>
      </w:r>
    </w:p>
    <w:p>
      <w:pPr>
        <w:ind w:firstLine="562" w:firstLineChars="200"/>
        <w:jc w:val="left"/>
        <w:outlineLvl w:val="1"/>
        <w:rPr>
          <w:rFonts w:ascii="仿宋_GB2312" w:eastAsia="仿宋_GB2312"/>
          <w:sz w:val="32"/>
          <w:szCs w:val="32"/>
        </w:rPr>
      </w:pPr>
      <w:bookmarkStart w:id="5" w:name="_Toc2499"/>
      <w:bookmarkStart w:id="6" w:name="_Toc31798"/>
      <w:r>
        <w:rPr>
          <w:rFonts w:hint="eastAsia" w:ascii="宋体" w:hAnsi="宋体" w:cs="宋体"/>
          <w:b/>
          <w:bCs/>
          <w:color w:val="000000"/>
          <w:kern w:val="0"/>
          <w:sz w:val="28"/>
          <w:szCs w:val="28"/>
        </w:rPr>
        <w:t>（二）学科建设情况</w:t>
      </w:r>
      <w:bookmarkEnd w:id="5"/>
      <w:bookmarkEnd w:id="6"/>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本专业学位点</w:t>
      </w:r>
      <w:r>
        <w:rPr>
          <w:rFonts w:hint="eastAsia" w:ascii="宋体" w:hAnsi="宋体" w:cs="宋体"/>
          <w:color w:val="000000"/>
          <w:kern w:val="0"/>
          <w:sz w:val="28"/>
          <w:szCs w:val="28"/>
        </w:rPr>
        <w:t>坚持社会主义办学方向，扎根边疆，服务国家向西开放战略，满足丝绸之路经济带核心区建设以及区域社会经济发展对国际税收、</w:t>
      </w:r>
      <w:r>
        <w:rPr>
          <w:rFonts w:hint="eastAsia" w:ascii="宋体" w:hAnsi="宋体" w:cs="宋体"/>
          <w:color w:val="000000"/>
          <w:sz w:val="28"/>
          <w:szCs w:val="28"/>
        </w:rPr>
        <w:t>地方税收管理、税务筹划等多领域的高层次应用型</w:t>
      </w:r>
      <w:r>
        <w:rPr>
          <w:rFonts w:hint="eastAsia" w:ascii="宋体" w:hAnsi="宋体" w:cs="宋体"/>
          <w:color w:val="000000"/>
          <w:kern w:val="0"/>
          <w:sz w:val="28"/>
          <w:szCs w:val="28"/>
        </w:rPr>
        <w:t>涉税人才需求。</w:t>
      </w:r>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本学位点设置三个培养方向。</w:t>
      </w:r>
      <w:r>
        <w:rPr>
          <w:rFonts w:hint="eastAsia" w:ascii="宋体" w:hAnsi="宋体" w:cs="宋体"/>
          <w:b/>
          <w:bCs/>
          <w:color w:val="000000"/>
          <w:sz w:val="28"/>
          <w:szCs w:val="28"/>
        </w:rPr>
        <w:t>税收政策与管理方向，</w:t>
      </w:r>
      <w:r>
        <w:rPr>
          <w:rFonts w:hint="eastAsia" w:ascii="宋体" w:hAnsi="宋体" w:cs="宋体"/>
          <w:color w:val="000000"/>
          <w:sz w:val="28"/>
          <w:szCs w:val="28"/>
        </w:rPr>
        <w:t>以培养熟练掌握国家税收政策与管理方法，立足新疆民族自治地区实际，开展对地方税收政策改革与管理创新研究。</w:t>
      </w:r>
      <w:r>
        <w:rPr>
          <w:rFonts w:hint="eastAsia" w:ascii="宋体" w:hAnsi="宋体" w:cs="宋体"/>
          <w:b/>
          <w:bCs/>
          <w:color w:val="000000"/>
          <w:sz w:val="28"/>
          <w:szCs w:val="28"/>
        </w:rPr>
        <w:t>国际税收方向，</w:t>
      </w:r>
      <w:r>
        <w:rPr>
          <w:rFonts w:hint="eastAsia" w:ascii="宋体" w:hAnsi="宋体" w:cs="宋体"/>
          <w:color w:val="000000"/>
          <w:sz w:val="28"/>
          <w:szCs w:val="28"/>
        </w:rPr>
        <w:t>培养基础理论扎实，立足新疆在“一带一路”倡议下的区位优势，开展中亚各国税制研究，为我国“走出去”企业提供优质的纳税服务。</w:t>
      </w:r>
      <w:r>
        <w:rPr>
          <w:rFonts w:hint="eastAsia" w:ascii="宋体" w:hAnsi="宋体" w:cs="宋体"/>
          <w:b/>
          <w:bCs/>
          <w:color w:val="000000"/>
          <w:sz w:val="28"/>
          <w:szCs w:val="28"/>
        </w:rPr>
        <w:t>税收筹划与管理方向，</w:t>
      </w:r>
      <w:r>
        <w:rPr>
          <w:rFonts w:hint="eastAsia" w:ascii="宋体" w:hAnsi="宋体" w:cs="宋体"/>
          <w:color w:val="000000"/>
          <w:sz w:val="28"/>
          <w:szCs w:val="28"/>
        </w:rPr>
        <w:t>培养理论基础扎实，充分了解税务筹划、税务稽查以及税务代理等税收实务并熟练掌握其分析方法与操作技能，具有解决实际涉税问题能力的高水平应用型专门人才为目标。</w:t>
      </w:r>
    </w:p>
    <w:p>
      <w:pPr>
        <w:pStyle w:val="19"/>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本学位点师资队伍包含校内和校外教师，校内由</w:t>
      </w:r>
      <w:r>
        <w:rPr>
          <w:rFonts w:ascii="宋体" w:hAnsi="宋体" w:cs="宋体"/>
          <w:sz w:val="28"/>
          <w:szCs w:val="28"/>
        </w:rPr>
        <w:t>14</w:t>
      </w:r>
      <w:r>
        <w:rPr>
          <w:rFonts w:hint="eastAsia" w:ascii="宋体" w:hAnsi="宋体" w:cs="宋体"/>
          <w:sz w:val="28"/>
          <w:szCs w:val="28"/>
        </w:rPr>
        <w:t>人组成职称结构、学历结构、年龄结构搭配合理的师资队伍，包括2名学术带头人，3名方向带头人。校内师资队伍中，副高及以上职称的人数占比为79%；博士及在读博士占比79%；45岁以上的人数占比为71%，45岁以下的人数占比为29%。还有30名具有丰富实践经验的校外导师，分布在税务局、中介机构、企业等领域。</w:t>
      </w:r>
    </w:p>
    <w:p>
      <w:pPr>
        <w:pStyle w:val="19"/>
        <w:snapToGrid w:val="0"/>
        <w:spacing w:line="360" w:lineRule="auto"/>
        <w:ind w:firstLine="560" w:firstLineChars="200"/>
        <w:rPr>
          <w:rFonts w:ascii="宋体" w:hAnsi="宋体" w:cs="宋体"/>
          <w:color w:val="000000"/>
          <w:sz w:val="28"/>
          <w:szCs w:val="28"/>
        </w:rPr>
      </w:pPr>
      <w:r>
        <w:rPr>
          <w:rFonts w:ascii="宋体" w:hAnsi="宋体" w:cs="宋体"/>
          <w:sz w:val="28"/>
          <w:szCs w:val="28"/>
        </w:rPr>
        <w:t>2021</w:t>
      </w:r>
      <w:r>
        <w:rPr>
          <w:rFonts w:hint="eastAsia" w:ascii="宋体" w:hAnsi="宋体" w:cs="宋体"/>
          <w:sz w:val="28"/>
          <w:szCs w:val="28"/>
        </w:rPr>
        <w:t>年，税收学专业获批自治区本科一流专业，《税收学》课程获批自治区本科一流课程。</w:t>
      </w:r>
      <w:r>
        <w:rPr>
          <w:rFonts w:hint="eastAsia" w:ascii="宋体" w:hAnsi="宋体" w:cs="宋体"/>
          <w:color w:val="000000"/>
          <w:sz w:val="28"/>
          <w:szCs w:val="28"/>
        </w:rPr>
        <w:t>本学位点建成“智慧财税”实验室，完成设备投入200</w:t>
      </w:r>
      <w:r>
        <w:rPr>
          <w:rFonts w:ascii="宋体" w:hAnsi="宋体" w:cs="宋体"/>
          <w:color w:val="000000"/>
          <w:sz w:val="28"/>
          <w:szCs w:val="28"/>
        </w:rPr>
        <w:t xml:space="preserve"> </w:t>
      </w:r>
      <w:r>
        <w:rPr>
          <w:rFonts w:hint="eastAsia" w:ascii="宋体" w:hAnsi="宋体" w:cs="宋体"/>
          <w:color w:val="000000"/>
          <w:sz w:val="28"/>
          <w:szCs w:val="28"/>
        </w:rPr>
        <w:t>万元。</w:t>
      </w:r>
    </w:p>
    <w:p>
      <w:pPr>
        <w:pStyle w:val="19"/>
        <w:snapToGrid w:val="0"/>
        <w:spacing w:line="360" w:lineRule="auto"/>
      </w:pPr>
      <w:r>
        <w:drawing>
          <wp:inline distT="0" distB="0" distL="114300" distR="114300">
            <wp:extent cx="1724660" cy="2744470"/>
            <wp:effectExtent l="0" t="0" r="8890" b="177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drawing>
          <wp:inline distT="0" distB="0" distL="114300" distR="114300">
            <wp:extent cx="1801495" cy="2656205"/>
            <wp:effectExtent l="0" t="0" r="8255" b="10795"/>
            <wp:docPr id="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drawing>
          <wp:inline distT="0" distB="0" distL="114300" distR="114300">
            <wp:extent cx="1649730" cy="2716530"/>
            <wp:effectExtent l="0" t="0" r="7620" b="762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
        <w:ind w:left="0" w:leftChars="0" w:firstLine="562"/>
        <w:outlineLvl w:val="1"/>
        <w:rPr>
          <w:rFonts w:ascii="仿宋_GB2312" w:eastAsia="仿宋_GB2312"/>
          <w:sz w:val="32"/>
          <w:szCs w:val="32"/>
        </w:rPr>
      </w:pPr>
      <w:bookmarkStart w:id="7" w:name="_Toc23472"/>
      <w:bookmarkStart w:id="8" w:name="_Toc22661"/>
      <w:r>
        <w:rPr>
          <w:rFonts w:hint="eastAsia" w:ascii="宋体" w:hAnsi="宋体" w:cs="宋体"/>
          <w:b/>
          <w:bCs/>
          <w:color w:val="000000"/>
          <w:kern w:val="0"/>
          <w:sz w:val="28"/>
          <w:szCs w:val="28"/>
        </w:rPr>
        <w:t>（三）研究生基本状况</w:t>
      </w:r>
      <w:bookmarkEnd w:id="7"/>
      <w:bookmarkEnd w:id="8"/>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近两年，本着公开、公平、公正、择优的原则，严格招生选拔过程。报名、考试、复试、面试等环节严格按照教育部的相关条件和要求执行。</w:t>
      </w:r>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2021年，学院共招收税务专业硕士研究生42人，通过严格生源选拔面试流程，加强对学生思想道德、专业知识、学习能力等综合能力的考查，在招生数量增加的同时生源质量稳步提高。2021年</w:t>
      </w:r>
      <w:r>
        <w:rPr>
          <w:rFonts w:ascii="宋体" w:hAnsi="宋体" w:cs="宋体"/>
          <w:color w:val="000000"/>
          <w:sz w:val="28"/>
          <w:szCs w:val="28"/>
        </w:rPr>
        <w:t>，本学位点毕业生</w:t>
      </w:r>
      <w:r>
        <w:rPr>
          <w:rFonts w:hint="eastAsia" w:ascii="宋体" w:hAnsi="宋体" w:cs="宋体"/>
          <w:color w:val="000000"/>
          <w:sz w:val="28"/>
          <w:szCs w:val="28"/>
        </w:rPr>
        <w:t>人数共23人，</w:t>
      </w:r>
      <w:r>
        <w:rPr>
          <w:rFonts w:ascii="宋体" w:hAnsi="宋体" w:cs="宋体"/>
          <w:color w:val="000000"/>
          <w:sz w:val="28"/>
          <w:szCs w:val="28"/>
        </w:rPr>
        <w:t>毕业率、</w:t>
      </w:r>
      <w:r>
        <w:rPr>
          <w:rFonts w:hint="eastAsia" w:ascii="宋体" w:hAnsi="宋体" w:cs="宋体"/>
          <w:color w:val="000000"/>
          <w:sz w:val="28"/>
          <w:szCs w:val="28"/>
        </w:rPr>
        <w:t>学位授予率、</w:t>
      </w:r>
      <w:r>
        <w:rPr>
          <w:rFonts w:ascii="宋体" w:hAnsi="宋体" w:cs="宋体"/>
          <w:color w:val="000000"/>
          <w:sz w:val="28"/>
          <w:szCs w:val="28"/>
        </w:rPr>
        <w:t>就业率均</w:t>
      </w:r>
      <w:r>
        <w:rPr>
          <w:rFonts w:hint="eastAsia" w:ascii="宋体" w:hAnsi="宋体" w:cs="宋体"/>
          <w:color w:val="000000"/>
          <w:sz w:val="28"/>
          <w:szCs w:val="28"/>
        </w:rPr>
        <w:t>为</w:t>
      </w:r>
      <w:r>
        <w:rPr>
          <w:rFonts w:ascii="宋体" w:hAnsi="宋体" w:cs="宋体"/>
          <w:color w:val="000000"/>
          <w:sz w:val="28"/>
          <w:szCs w:val="28"/>
        </w:rPr>
        <w:t>100%。就业单位反馈毕业生工作认真负责，满意度高。</w:t>
      </w:r>
    </w:p>
    <w:p>
      <w:pPr>
        <w:pStyle w:val="19"/>
        <w:snapToGrid w:val="0"/>
        <w:spacing w:line="360" w:lineRule="auto"/>
        <w:ind w:firstLine="420" w:firstLineChars="200"/>
        <w:jc w:val="center"/>
        <w:rPr>
          <w:rFonts w:ascii="宋体" w:hAnsi="宋体" w:cs="宋体"/>
          <w:color w:val="FF0000"/>
          <w:sz w:val="28"/>
          <w:szCs w:val="28"/>
        </w:rPr>
      </w:pPr>
      <w:r>
        <w:drawing>
          <wp:inline distT="0" distB="0" distL="114300" distR="114300">
            <wp:extent cx="3240405" cy="2648585"/>
            <wp:effectExtent l="0" t="0" r="7620" b="889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学生实践能力得到增强。2</w:t>
      </w:r>
      <w:r>
        <w:rPr>
          <w:rFonts w:ascii="宋体" w:hAnsi="宋体" w:cs="宋体"/>
          <w:color w:val="000000"/>
          <w:sz w:val="28"/>
          <w:szCs w:val="28"/>
        </w:rPr>
        <w:t>021</w:t>
      </w:r>
      <w:r>
        <w:rPr>
          <w:rFonts w:hint="eastAsia" w:ascii="宋体" w:hAnsi="宋体" w:cs="宋体"/>
          <w:color w:val="000000"/>
          <w:sz w:val="28"/>
          <w:szCs w:val="28"/>
        </w:rPr>
        <w:t>年，</w:t>
      </w:r>
      <w:r>
        <w:rPr>
          <w:rFonts w:hint="eastAsia" w:ascii="宋体" w:hAnsi="宋体" w:cs="宋体"/>
          <w:color w:val="auto"/>
          <w:sz w:val="28"/>
          <w:szCs w:val="28"/>
        </w:rPr>
        <w:t>共有</w:t>
      </w:r>
      <w:r>
        <w:rPr>
          <w:rFonts w:hint="eastAsia" w:ascii="宋体" w:hAnsi="宋体" w:cs="宋体"/>
          <w:color w:val="auto"/>
          <w:sz w:val="28"/>
          <w:szCs w:val="28"/>
          <w:lang w:val="en-US" w:eastAsia="zh-CN"/>
        </w:rPr>
        <w:t>33</w:t>
      </w:r>
      <w:r>
        <w:rPr>
          <w:rFonts w:hint="eastAsia" w:ascii="宋体" w:hAnsi="宋体" w:cs="宋体"/>
          <w:color w:val="auto"/>
          <w:sz w:val="28"/>
          <w:szCs w:val="28"/>
        </w:rPr>
        <w:t>名2</w:t>
      </w:r>
      <w:r>
        <w:rPr>
          <w:rFonts w:ascii="宋体" w:hAnsi="宋体" w:cs="宋体"/>
          <w:color w:val="auto"/>
          <w:sz w:val="28"/>
          <w:szCs w:val="28"/>
        </w:rPr>
        <w:t>0</w:t>
      </w:r>
      <w:r>
        <w:rPr>
          <w:rFonts w:ascii="宋体" w:hAnsi="宋体" w:cs="宋体"/>
          <w:color w:val="000000"/>
          <w:sz w:val="28"/>
          <w:szCs w:val="28"/>
        </w:rPr>
        <w:t>20</w:t>
      </w:r>
      <w:r>
        <w:rPr>
          <w:rFonts w:hint="eastAsia" w:ascii="宋体" w:hAnsi="宋体" w:cs="宋体"/>
          <w:color w:val="000000"/>
          <w:sz w:val="28"/>
          <w:szCs w:val="28"/>
        </w:rPr>
        <w:t>级税务专硕学生进行为期三个月的专业实习，其中21位学生在实习基地完成专业实习</w:t>
      </w:r>
      <w:r>
        <w:rPr>
          <w:rFonts w:hint="eastAsia" w:ascii="宋体" w:hAnsi="宋体" w:cs="宋体"/>
          <w:color w:val="000000"/>
          <w:sz w:val="28"/>
          <w:szCs w:val="28"/>
          <w:lang w:eastAsia="zh-CN"/>
        </w:rPr>
        <w:t>，占比为</w:t>
      </w:r>
      <w:r>
        <w:rPr>
          <w:rFonts w:hint="eastAsia" w:ascii="宋体" w:hAnsi="宋体" w:cs="宋体"/>
          <w:color w:val="000000"/>
          <w:sz w:val="28"/>
          <w:szCs w:val="28"/>
          <w:lang w:val="en-US" w:eastAsia="zh-CN"/>
        </w:rPr>
        <w:t>64%</w:t>
      </w:r>
      <w:r>
        <w:rPr>
          <w:rFonts w:hint="eastAsia" w:ascii="宋体" w:hAnsi="宋体" w:cs="宋体"/>
          <w:color w:val="000000"/>
          <w:sz w:val="28"/>
          <w:szCs w:val="28"/>
        </w:rPr>
        <w:t>。</w:t>
      </w:r>
      <w:r>
        <w:rPr>
          <w:rFonts w:hint="eastAsia" w:ascii="宋体" w:hAnsi="宋体" w:cs="宋体"/>
          <w:color w:val="auto"/>
          <w:sz w:val="28"/>
          <w:szCs w:val="28"/>
        </w:rPr>
        <w:t>2021年度税</w:t>
      </w:r>
      <w:r>
        <w:rPr>
          <w:rFonts w:hint="eastAsia" w:ascii="宋体" w:hAnsi="宋体" w:cs="宋体"/>
          <w:color w:val="000000"/>
          <w:sz w:val="28"/>
          <w:szCs w:val="28"/>
        </w:rPr>
        <w:t>务专业硕士在校生积极报考各类资格考试，共有17名学生通过注册会计师、注册税务师资格考试33门课程。积极参加各类职业技能大赛，3位同学获得全国本科税收风险管控案例分析大赛（研究生）三等奖，4位同学获得“衡信杯”全国个税职业技能大赛的一等奖和二等奖。积极参与各类学术活动，公开发表29篇专业论文，6位同学获得第十一届研究生学术论坛优秀奖，1位同学获得新疆维吾尔自治区税务学会论文评审优秀奖。</w:t>
      </w:r>
    </w:p>
    <w:tbl>
      <w:tblPr>
        <w:tblStyle w:val="13"/>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6"/>
        <w:gridCol w:w="1875"/>
        <w:gridCol w:w="1560"/>
        <w:gridCol w:w="1545"/>
        <w:gridCol w:w="1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8156" w:type="dxa"/>
            <w:gridSpan w:val="5"/>
            <w:vAlign w:val="center"/>
          </w:tcPr>
          <w:p>
            <w:pPr>
              <w:jc w:val="center"/>
              <w:rPr>
                <w:rFonts w:ascii="宋体" w:hAnsi="宋体" w:cs="宋体"/>
                <w:szCs w:val="21"/>
                <w:highlight w:val="yellow"/>
              </w:rPr>
            </w:pPr>
            <w:r>
              <w:rPr>
                <w:rFonts w:hint="eastAsia" w:ascii="宋体" w:hAnsi="宋体" w:cs="宋体"/>
                <w:b/>
                <w:bCs/>
                <w:sz w:val="24"/>
                <w:szCs w:val="24"/>
              </w:rPr>
              <w:t>专业实践概况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826" w:type="dxa"/>
            <w:vAlign w:val="center"/>
          </w:tcPr>
          <w:p>
            <w:pPr>
              <w:pStyle w:val="17"/>
              <w:spacing w:line="244" w:lineRule="auto"/>
              <w:ind w:left="105" w:right="97"/>
              <w:jc w:val="center"/>
              <w:rPr>
                <w:b/>
                <w:bCs/>
                <w:sz w:val="20"/>
                <w:szCs w:val="21"/>
              </w:rPr>
            </w:pPr>
            <w:r>
              <w:rPr>
                <w:rFonts w:hint="eastAsia"/>
                <w:b/>
                <w:bCs/>
                <w:sz w:val="20"/>
                <w:szCs w:val="21"/>
              </w:rPr>
              <w:t>基地名称</w:t>
            </w:r>
          </w:p>
        </w:tc>
        <w:tc>
          <w:tcPr>
            <w:tcW w:w="1875" w:type="dxa"/>
            <w:vAlign w:val="center"/>
          </w:tcPr>
          <w:p>
            <w:pPr>
              <w:pStyle w:val="17"/>
              <w:spacing w:line="244" w:lineRule="auto"/>
              <w:ind w:left="89" w:right="80"/>
              <w:jc w:val="center"/>
              <w:rPr>
                <w:b/>
                <w:bCs/>
                <w:sz w:val="20"/>
                <w:szCs w:val="21"/>
              </w:rPr>
            </w:pPr>
            <w:r>
              <w:rPr>
                <w:rFonts w:hint="eastAsia"/>
                <w:b/>
                <w:bCs/>
                <w:sz w:val="20"/>
                <w:szCs w:val="21"/>
              </w:rPr>
              <w:t>合作单位</w:t>
            </w:r>
          </w:p>
        </w:tc>
        <w:tc>
          <w:tcPr>
            <w:tcW w:w="1560" w:type="dxa"/>
            <w:vAlign w:val="center"/>
          </w:tcPr>
          <w:p>
            <w:pPr>
              <w:pStyle w:val="17"/>
              <w:spacing w:line="244" w:lineRule="auto"/>
              <w:ind w:left="96" w:right="87"/>
              <w:jc w:val="center"/>
              <w:rPr>
                <w:b/>
                <w:bCs/>
                <w:sz w:val="20"/>
                <w:szCs w:val="21"/>
              </w:rPr>
            </w:pPr>
            <w:r>
              <w:rPr>
                <w:rFonts w:hint="eastAsia"/>
                <w:b/>
                <w:bCs/>
                <w:sz w:val="20"/>
                <w:szCs w:val="21"/>
              </w:rPr>
              <w:t>设立时间</w:t>
            </w:r>
          </w:p>
        </w:tc>
        <w:tc>
          <w:tcPr>
            <w:tcW w:w="1545" w:type="dxa"/>
            <w:vAlign w:val="center"/>
          </w:tcPr>
          <w:p>
            <w:pPr>
              <w:jc w:val="center"/>
              <w:rPr>
                <w:rFonts w:ascii="宋体" w:hAnsi="宋体" w:cs="宋体"/>
                <w:b/>
                <w:bCs/>
                <w:sz w:val="20"/>
                <w:szCs w:val="20"/>
              </w:rPr>
            </w:pPr>
            <w:r>
              <w:rPr>
                <w:rFonts w:hint="eastAsia" w:ascii="宋体" w:hAnsi="宋体" w:cs="宋体"/>
                <w:b/>
                <w:bCs/>
                <w:sz w:val="20"/>
                <w:szCs w:val="21"/>
              </w:rPr>
              <w:t>接收专业实践学生人数</w:t>
            </w:r>
          </w:p>
        </w:tc>
        <w:tc>
          <w:tcPr>
            <w:tcW w:w="1350" w:type="dxa"/>
            <w:vAlign w:val="center"/>
          </w:tcPr>
          <w:p>
            <w:pPr>
              <w:jc w:val="center"/>
              <w:rPr>
                <w:rFonts w:ascii="宋体" w:hAnsi="宋体" w:cs="宋体"/>
                <w:b/>
                <w:bCs/>
                <w:sz w:val="20"/>
                <w:szCs w:val="20"/>
                <w:highlight w:val="yellow"/>
              </w:rPr>
            </w:pPr>
            <w:r>
              <w:rPr>
                <w:rFonts w:hint="eastAsia" w:ascii="宋体" w:hAnsi="宋体" w:cs="宋体"/>
                <w:b/>
                <w:bCs/>
                <w:sz w:val="20"/>
                <w:szCs w:val="21"/>
              </w:rPr>
              <w:t>基地导师人数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826" w:type="dxa"/>
            <w:vAlign w:val="center"/>
          </w:tcPr>
          <w:p>
            <w:pPr>
              <w:jc w:val="center"/>
              <w:rPr>
                <w:rFonts w:ascii="宋体" w:hAnsi="宋体" w:cs="宋体"/>
                <w:sz w:val="20"/>
                <w:szCs w:val="20"/>
              </w:rPr>
            </w:pPr>
            <w:r>
              <w:rPr>
                <w:rFonts w:hint="eastAsia" w:ascii="宋体" w:hAnsi="宋体" w:cs="宋体"/>
                <w:sz w:val="20"/>
                <w:szCs w:val="20"/>
              </w:rPr>
              <w:t>新疆财经大学产教融合基地</w:t>
            </w:r>
          </w:p>
        </w:tc>
        <w:tc>
          <w:tcPr>
            <w:tcW w:w="1875" w:type="dxa"/>
            <w:vAlign w:val="center"/>
          </w:tcPr>
          <w:p>
            <w:pPr>
              <w:jc w:val="center"/>
              <w:rPr>
                <w:rFonts w:ascii="宋体" w:hAnsi="宋体" w:cs="宋体"/>
                <w:sz w:val="20"/>
                <w:szCs w:val="20"/>
              </w:rPr>
            </w:pPr>
            <w:r>
              <w:rPr>
                <w:rFonts w:hint="eastAsia" w:ascii="宋体" w:hAnsi="宋体" w:cs="宋体"/>
                <w:sz w:val="20"/>
                <w:szCs w:val="20"/>
              </w:rPr>
              <w:t>尤尼泰（新疆）税务师事务所</w:t>
            </w:r>
          </w:p>
        </w:tc>
        <w:tc>
          <w:tcPr>
            <w:tcW w:w="1560" w:type="dxa"/>
            <w:vAlign w:val="center"/>
          </w:tcPr>
          <w:p>
            <w:pPr>
              <w:jc w:val="center"/>
              <w:rPr>
                <w:rFonts w:ascii="宋体" w:hAnsi="宋体" w:cs="宋体"/>
                <w:sz w:val="20"/>
                <w:szCs w:val="20"/>
              </w:rPr>
            </w:pPr>
            <w:r>
              <w:rPr>
                <w:rFonts w:hint="eastAsia" w:ascii="宋体" w:hAnsi="宋体" w:cs="宋体"/>
                <w:sz w:val="20"/>
                <w:szCs w:val="20"/>
              </w:rPr>
              <w:t>201906</w:t>
            </w:r>
          </w:p>
        </w:tc>
        <w:tc>
          <w:tcPr>
            <w:tcW w:w="1545" w:type="dxa"/>
            <w:vAlign w:val="center"/>
          </w:tcPr>
          <w:p>
            <w:pPr>
              <w:jc w:val="center"/>
              <w:rPr>
                <w:rFonts w:ascii="宋体" w:hAnsi="宋体" w:cs="宋体"/>
                <w:sz w:val="20"/>
                <w:szCs w:val="20"/>
              </w:rPr>
            </w:pPr>
            <w:r>
              <w:rPr>
                <w:rFonts w:hint="eastAsia" w:ascii="宋体" w:hAnsi="宋体" w:cs="宋体"/>
                <w:sz w:val="20"/>
                <w:szCs w:val="20"/>
              </w:rPr>
              <w:t>4</w:t>
            </w:r>
          </w:p>
        </w:tc>
        <w:tc>
          <w:tcPr>
            <w:tcW w:w="1350" w:type="dxa"/>
            <w:vAlign w:val="center"/>
          </w:tcPr>
          <w:p>
            <w:pPr>
              <w:jc w:val="center"/>
              <w:rPr>
                <w:rFonts w:ascii="宋体" w:hAnsi="宋体" w:cs="宋体"/>
                <w:sz w:val="20"/>
                <w:szCs w:val="20"/>
                <w:highlight w:val="yellow"/>
              </w:rPr>
            </w:pPr>
            <w:r>
              <w:rPr>
                <w:rFonts w:hint="eastAsia" w:ascii="宋体" w:hAnsi="宋体" w:cs="宋体"/>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826" w:type="dxa"/>
            <w:vAlign w:val="center"/>
          </w:tcPr>
          <w:p>
            <w:pPr>
              <w:widowControl/>
              <w:jc w:val="center"/>
              <w:textAlignment w:val="center"/>
              <w:rPr>
                <w:rFonts w:ascii="宋体" w:hAnsi="宋体" w:cs="宋体"/>
                <w:sz w:val="20"/>
                <w:szCs w:val="20"/>
              </w:rPr>
            </w:pPr>
            <w:r>
              <w:rPr>
                <w:rFonts w:hint="eastAsia" w:ascii="宋体" w:hAnsi="宋体" w:cs="宋体"/>
                <w:sz w:val="20"/>
                <w:szCs w:val="20"/>
              </w:rPr>
              <w:t>新疆财经大学产教融合基地</w:t>
            </w:r>
          </w:p>
        </w:tc>
        <w:tc>
          <w:tcPr>
            <w:tcW w:w="1875" w:type="dxa"/>
            <w:vAlign w:val="center"/>
          </w:tcPr>
          <w:p>
            <w:pPr>
              <w:jc w:val="center"/>
              <w:rPr>
                <w:rFonts w:ascii="宋体" w:hAnsi="宋体" w:cs="宋体"/>
                <w:sz w:val="20"/>
                <w:szCs w:val="20"/>
              </w:rPr>
            </w:pPr>
            <w:r>
              <w:rPr>
                <w:rFonts w:hint="eastAsia" w:ascii="宋体" w:hAnsi="宋体" w:cs="宋体"/>
                <w:sz w:val="20"/>
                <w:szCs w:val="20"/>
              </w:rPr>
              <w:t>乌鲁木齐市高新区税务局</w:t>
            </w:r>
          </w:p>
        </w:tc>
        <w:tc>
          <w:tcPr>
            <w:tcW w:w="1560" w:type="dxa"/>
            <w:vAlign w:val="center"/>
          </w:tcPr>
          <w:p>
            <w:pPr>
              <w:jc w:val="center"/>
              <w:rPr>
                <w:rFonts w:ascii="宋体" w:hAnsi="宋体" w:cs="宋体"/>
                <w:sz w:val="20"/>
                <w:szCs w:val="20"/>
              </w:rPr>
            </w:pPr>
            <w:r>
              <w:rPr>
                <w:rFonts w:hint="eastAsia" w:ascii="宋体" w:hAnsi="宋体" w:cs="宋体"/>
                <w:sz w:val="20"/>
                <w:szCs w:val="20"/>
              </w:rPr>
              <w:t>201905</w:t>
            </w:r>
          </w:p>
        </w:tc>
        <w:tc>
          <w:tcPr>
            <w:tcW w:w="1545" w:type="dxa"/>
            <w:vAlign w:val="center"/>
          </w:tcPr>
          <w:p>
            <w:pPr>
              <w:jc w:val="center"/>
              <w:rPr>
                <w:rFonts w:ascii="宋体" w:hAnsi="宋体" w:cs="宋体"/>
                <w:sz w:val="20"/>
                <w:szCs w:val="20"/>
              </w:rPr>
            </w:pPr>
            <w:r>
              <w:rPr>
                <w:rFonts w:hint="eastAsia" w:ascii="宋体" w:hAnsi="宋体" w:cs="宋体"/>
                <w:sz w:val="20"/>
                <w:szCs w:val="20"/>
              </w:rPr>
              <w:t>9</w:t>
            </w:r>
          </w:p>
        </w:tc>
        <w:tc>
          <w:tcPr>
            <w:tcW w:w="1350" w:type="dxa"/>
            <w:vAlign w:val="center"/>
          </w:tcPr>
          <w:p>
            <w:pPr>
              <w:jc w:val="center"/>
              <w:rPr>
                <w:rFonts w:ascii="宋体" w:hAnsi="宋体" w:cs="宋体"/>
                <w:sz w:val="20"/>
                <w:szCs w:val="20"/>
              </w:rPr>
            </w:pPr>
            <w:r>
              <w:rPr>
                <w:rFonts w:hint="eastAsia" w:ascii="宋体" w:hAnsi="宋体" w:cs="宋体"/>
                <w:sz w:val="20"/>
                <w:szCs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826" w:type="dxa"/>
            <w:vAlign w:val="center"/>
          </w:tcPr>
          <w:p>
            <w:pPr>
              <w:widowControl/>
              <w:jc w:val="center"/>
              <w:textAlignment w:val="center"/>
              <w:rPr>
                <w:rFonts w:ascii="宋体" w:hAnsi="宋体" w:cs="宋体"/>
                <w:sz w:val="20"/>
                <w:szCs w:val="20"/>
              </w:rPr>
            </w:pPr>
            <w:r>
              <w:rPr>
                <w:rFonts w:hint="eastAsia" w:ascii="宋体" w:hAnsi="宋体" w:cs="宋体"/>
                <w:sz w:val="20"/>
                <w:szCs w:val="20"/>
              </w:rPr>
              <w:t>新疆财经大学产教融合基地</w:t>
            </w:r>
          </w:p>
        </w:tc>
        <w:tc>
          <w:tcPr>
            <w:tcW w:w="1875" w:type="dxa"/>
            <w:vAlign w:val="center"/>
          </w:tcPr>
          <w:p>
            <w:pPr>
              <w:widowControl/>
              <w:jc w:val="center"/>
              <w:textAlignment w:val="center"/>
              <w:rPr>
                <w:rFonts w:ascii="宋体" w:hAnsi="宋体" w:cs="宋体"/>
                <w:sz w:val="20"/>
                <w:szCs w:val="20"/>
              </w:rPr>
            </w:pPr>
            <w:r>
              <w:rPr>
                <w:rFonts w:hint="eastAsia" w:ascii="宋体" w:hAnsi="宋体" w:cs="宋体"/>
                <w:sz w:val="20"/>
                <w:szCs w:val="20"/>
              </w:rPr>
              <w:t>乌鲁木齐市经开区税务局</w:t>
            </w:r>
          </w:p>
        </w:tc>
        <w:tc>
          <w:tcPr>
            <w:tcW w:w="1560" w:type="dxa"/>
            <w:vAlign w:val="center"/>
          </w:tcPr>
          <w:p>
            <w:pPr>
              <w:widowControl/>
              <w:jc w:val="center"/>
              <w:textAlignment w:val="center"/>
              <w:rPr>
                <w:rFonts w:ascii="宋体" w:hAnsi="宋体" w:cs="宋体"/>
                <w:sz w:val="20"/>
                <w:szCs w:val="20"/>
              </w:rPr>
            </w:pPr>
            <w:r>
              <w:rPr>
                <w:rFonts w:hint="eastAsia" w:ascii="宋体" w:hAnsi="宋体" w:cs="宋体"/>
                <w:sz w:val="20"/>
                <w:szCs w:val="20"/>
              </w:rPr>
              <w:t>201905</w:t>
            </w:r>
          </w:p>
        </w:tc>
        <w:tc>
          <w:tcPr>
            <w:tcW w:w="1545" w:type="dxa"/>
            <w:vAlign w:val="center"/>
          </w:tcPr>
          <w:p>
            <w:pPr>
              <w:jc w:val="center"/>
              <w:rPr>
                <w:rFonts w:ascii="宋体" w:hAnsi="宋体" w:cs="宋体"/>
                <w:sz w:val="20"/>
                <w:szCs w:val="20"/>
              </w:rPr>
            </w:pPr>
            <w:r>
              <w:rPr>
                <w:rFonts w:hint="eastAsia" w:ascii="宋体" w:hAnsi="宋体" w:cs="宋体"/>
                <w:sz w:val="20"/>
                <w:szCs w:val="20"/>
              </w:rPr>
              <w:t>6</w:t>
            </w:r>
          </w:p>
        </w:tc>
        <w:tc>
          <w:tcPr>
            <w:tcW w:w="1350" w:type="dxa"/>
            <w:vAlign w:val="center"/>
          </w:tcPr>
          <w:p>
            <w:pPr>
              <w:jc w:val="center"/>
              <w:rPr>
                <w:rFonts w:ascii="宋体" w:hAnsi="宋体" w:cs="宋体"/>
                <w:sz w:val="20"/>
                <w:szCs w:val="20"/>
              </w:rPr>
            </w:pPr>
            <w:r>
              <w:rPr>
                <w:rFonts w:hint="eastAsia" w:ascii="宋体" w:hAnsi="宋体" w:cs="宋体"/>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826" w:type="dxa"/>
            <w:vAlign w:val="center"/>
          </w:tcPr>
          <w:p>
            <w:pPr>
              <w:widowControl/>
              <w:jc w:val="center"/>
              <w:textAlignment w:val="center"/>
              <w:rPr>
                <w:rFonts w:ascii="宋体" w:hAnsi="宋体" w:cs="宋体"/>
                <w:sz w:val="20"/>
                <w:szCs w:val="20"/>
              </w:rPr>
            </w:pPr>
            <w:r>
              <w:rPr>
                <w:rFonts w:hint="eastAsia" w:ascii="宋体" w:hAnsi="宋体" w:cs="宋体"/>
                <w:sz w:val="20"/>
                <w:szCs w:val="20"/>
              </w:rPr>
              <w:t>新疆财经大学产教融合基地</w:t>
            </w:r>
          </w:p>
        </w:tc>
        <w:tc>
          <w:tcPr>
            <w:tcW w:w="1875" w:type="dxa"/>
            <w:vAlign w:val="center"/>
          </w:tcPr>
          <w:p>
            <w:pPr>
              <w:widowControl/>
              <w:jc w:val="center"/>
              <w:textAlignment w:val="center"/>
              <w:rPr>
                <w:rFonts w:ascii="宋体" w:hAnsi="宋体" w:cs="宋体"/>
                <w:sz w:val="20"/>
                <w:szCs w:val="20"/>
              </w:rPr>
            </w:pPr>
            <w:r>
              <w:rPr>
                <w:rFonts w:hint="eastAsia" w:ascii="宋体" w:hAnsi="宋体" w:cs="宋体"/>
                <w:sz w:val="20"/>
                <w:szCs w:val="20"/>
              </w:rPr>
              <w:t>新疆华阳有限责任公司会计师事务所</w:t>
            </w:r>
          </w:p>
        </w:tc>
        <w:tc>
          <w:tcPr>
            <w:tcW w:w="1560" w:type="dxa"/>
            <w:vAlign w:val="center"/>
          </w:tcPr>
          <w:p>
            <w:pPr>
              <w:widowControl/>
              <w:jc w:val="center"/>
              <w:textAlignment w:val="center"/>
              <w:rPr>
                <w:rFonts w:ascii="宋体" w:hAnsi="宋体" w:cs="宋体"/>
                <w:sz w:val="20"/>
                <w:szCs w:val="20"/>
              </w:rPr>
            </w:pPr>
            <w:r>
              <w:rPr>
                <w:rFonts w:hint="eastAsia" w:ascii="宋体" w:hAnsi="宋体" w:cs="宋体"/>
                <w:sz w:val="20"/>
                <w:szCs w:val="20"/>
              </w:rPr>
              <w:t>201905</w:t>
            </w:r>
          </w:p>
        </w:tc>
        <w:tc>
          <w:tcPr>
            <w:tcW w:w="1545" w:type="dxa"/>
            <w:vAlign w:val="center"/>
          </w:tcPr>
          <w:p>
            <w:pPr>
              <w:jc w:val="center"/>
              <w:rPr>
                <w:rFonts w:ascii="宋体" w:hAnsi="宋体" w:cs="宋体"/>
                <w:sz w:val="20"/>
                <w:szCs w:val="20"/>
              </w:rPr>
            </w:pPr>
            <w:r>
              <w:rPr>
                <w:rFonts w:hint="eastAsia" w:ascii="宋体" w:hAnsi="宋体" w:cs="宋体"/>
                <w:sz w:val="20"/>
                <w:szCs w:val="20"/>
              </w:rPr>
              <w:t>2</w:t>
            </w:r>
          </w:p>
        </w:tc>
        <w:tc>
          <w:tcPr>
            <w:tcW w:w="1350" w:type="dxa"/>
            <w:vAlign w:val="center"/>
          </w:tcPr>
          <w:p>
            <w:pPr>
              <w:jc w:val="center"/>
              <w:rPr>
                <w:rFonts w:ascii="宋体" w:hAnsi="宋体" w:cs="宋体"/>
                <w:sz w:val="20"/>
                <w:szCs w:val="20"/>
              </w:rPr>
            </w:pPr>
            <w:r>
              <w:rPr>
                <w:rFonts w:hint="eastAsia" w:ascii="宋体" w:hAnsi="宋体" w:cs="宋体"/>
                <w:sz w:val="20"/>
                <w:szCs w:val="20"/>
              </w:rPr>
              <w:t>1</w:t>
            </w:r>
          </w:p>
        </w:tc>
      </w:tr>
    </w:tbl>
    <w:p>
      <w:pPr>
        <w:pStyle w:val="19"/>
        <w:snapToGrid w:val="0"/>
        <w:spacing w:line="360" w:lineRule="auto"/>
        <w:ind w:firstLine="560" w:firstLineChars="200"/>
        <w:rPr>
          <w:rFonts w:ascii="宋体" w:hAnsi="宋体" w:cs="宋体"/>
          <w:color w:val="000000"/>
          <w:sz w:val="28"/>
          <w:szCs w:val="28"/>
        </w:rPr>
      </w:pPr>
    </w:p>
    <w:p>
      <w:pPr>
        <w:pStyle w:val="19"/>
        <w:snapToGrid w:val="0"/>
        <w:spacing w:line="360" w:lineRule="auto"/>
        <w:ind w:firstLine="560" w:firstLineChars="200"/>
        <w:jc w:val="center"/>
        <w:rPr>
          <w:rFonts w:ascii="宋体" w:hAnsi="宋体" w:cs="宋体"/>
          <w:color w:val="000000"/>
          <w:sz w:val="28"/>
          <w:szCs w:val="28"/>
        </w:rPr>
      </w:pPr>
      <w:r>
        <w:rPr>
          <w:rFonts w:hint="eastAsia" w:ascii="宋体" w:hAnsi="宋体" w:cs="宋体"/>
          <w:color w:val="000000"/>
          <w:sz w:val="28"/>
          <w:szCs w:val="28"/>
        </w:rPr>
        <w:drawing>
          <wp:inline distT="0" distB="0" distL="114300" distR="114300">
            <wp:extent cx="1824355" cy="2579370"/>
            <wp:effectExtent l="0" t="0" r="4445" b="1905"/>
            <wp:docPr id="17" name="图片 17" descr="全国本科税收风险管控案例分析大赛（20年12月才出的证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全国本科税收风险管控案例分析大赛（20年12月才出的证明）"/>
                    <pic:cNvPicPr>
                      <a:picLocks noChangeAspect="1"/>
                    </pic:cNvPicPr>
                  </pic:nvPicPr>
                  <pic:blipFill>
                    <a:blip r:embed="rId10"/>
                    <a:stretch>
                      <a:fillRect/>
                    </a:stretch>
                  </pic:blipFill>
                  <pic:spPr>
                    <a:xfrm>
                      <a:off x="0" y="0"/>
                      <a:ext cx="1824355" cy="2579370"/>
                    </a:xfrm>
                    <a:prstGeom prst="rect">
                      <a:avLst/>
                    </a:prstGeom>
                  </pic:spPr>
                </pic:pic>
              </a:graphicData>
            </a:graphic>
          </wp:inline>
        </w:drawing>
      </w:r>
    </w:p>
    <w:p>
      <w:pPr>
        <w:pStyle w:val="19"/>
        <w:snapToGrid w:val="0"/>
        <w:spacing w:line="360" w:lineRule="auto"/>
        <w:ind w:firstLine="440" w:firstLineChars="200"/>
        <w:jc w:val="center"/>
        <w:rPr>
          <w:rFonts w:ascii="宋体" w:hAnsi="宋体" w:cs="宋体"/>
          <w:color w:val="000000"/>
          <w:sz w:val="28"/>
          <w:szCs w:val="28"/>
        </w:rPr>
      </w:pPr>
      <w:r>
        <w:rPr>
          <w:rFonts w:hint="eastAsia" w:ascii="宋体" w:hAnsi="宋体" w:cs="宋体"/>
          <w:color w:val="000000"/>
          <w:sz w:val="22"/>
        </w:rPr>
        <w:t>全国本科税收风险管控案例分析大赛获奖证书</w:t>
      </w:r>
    </w:p>
    <w:p>
      <w:pPr>
        <w:pStyle w:val="19"/>
        <w:snapToGrid w:val="0"/>
        <w:spacing w:line="360" w:lineRule="auto"/>
        <w:ind w:firstLine="560" w:firstLineChars="200"/>
        <w:rPr>
          <w:rFonts w:ascii="宋体" w:hAnsi="宋体" w:cs="宋体"/>
          <w:color w:val="000000"/>
          <w:sz w:val="28"/>
          <w:szCs w:val="28"/>
        </w:rPr>
      </w:pPr>
    </w:p>
    <w:p>
      <w:pPr>
        <w:pStyle w:val="19"/>
        <w:snapToGrid w:val="0"/>
        <w:spacing w:line="360" w:lineRule="auto"/>
        <w:jc w:val="center"/>
        <w:rPr>
          <w:rFonts w:ascii="宋体" w:hAnsi="宋体" w:cs="宋体"/>
          <w:color w:val="000000"/>
          <w:sz w:val="28"/>
          <w:szCs w:val="28"/>
        </w:rPr>
      </w:pPr>
      <w:r>
        <w:rPr>
          <w:rFonts w:hint="eastAsia" w:ascii="宋体" w:hAnsi="宋体" w:cs="宋体"/>
          <w:color w:val="000000"/>
          <w:sz w:val="28"/>
          <w:szCs w:val="28"/>
        </w:rPr>
        <w:drawing>
          <wp:inline distT="0" distB="0" distL="114300" distR="114300">
            <wp:extent cx="2346960" cy="1659890"/>
            <wp:effectExtent l="0" t="0" r="5715" b="6985"/>
            <wp:docPr id="13" name="图片 13" descr="18a2293f41b3a67fc77a9fdb19f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8a2293f41b3a67fc77a9fdb19f5088"/>
                    <pic:cNvPicPr>
                      <a:picLocks noChangeAspect="1"/>
                    </pic:cNvPicPr>
                  </pic:nvPicPr>
                  <pic:blipFill>
                    <a:blip r:embed="rId11"/>
                    <a:stretch>
                      <a:fillRect/>
                    </a:stretch>
                  </pic:blipFill>
                  <pic:spPr>
                    <a:xfrm>
                      <a:off x="0" y="0"/>
                      <a:ext cx="2346960" cy="1659890"/>
                    </a:xfrm>
                    <a:prstGeom prst="rect">
                      <a:avLst/>
                    </a:prstGeom>
                  </pic:spPr>
                </pic:pic>
              </a:graphicData>
            </a:graphic>
          </wp:inline>
        </w:drawing>
      </w:r>
      <w:r>
        <w:rPr>
          <w:rFonts w:hint="eastAsia" w:ascii="宋体" w:hAnsi="宋体" w:cs="宋体"/>
          <w:color w:val="000000"/>
          <w:sz w:val="28"/>
          <w:szCs w:val="28"/>
        </w:rPr>
        <w:drawing>
          <wp:inline distT="0" distB="0" distL="114300" distR="114300">
            <wp:extent cx="2366645" cy="1672590"/>
            <wp:effectExtent l="0" t="0" r="5080" b="3810"/>
            <wp:docPr id="14" name="图片 14" descr="60b3067c28c86a11d7ec90db873a3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60b3067c28c86a11d7ec90db873a31c"/>
                    <pic:cNvPicPr>
                      <a:picLocks noChangeAspect="1"/>
                    </pic:cNvPicPr>
                  </pic:nvPicPr>
                  <pic:blipFill>
                    <a:blip r:embed="rId12"/>
                    <a:stretch>
                      <a:fillRect/>
                    </a:stretch>
                  </pic:blipFill>
                  <pic:spPr>
                    <a:xfrm>
                      <a:off x="0" y="0"/>
                      <a:ext cx="2366645" cy="1672590"/>
                    </a:xfrm>
                    <a:prstGeom prst="rect">
                      <a:avLst/>
                    </a:prstGeom>
                  </pic:spPr>
                </pic:pic>
              </a:graphicData>
            </a:graphic>
          </wp:inline>
        </w:drawing>
      </w:r>
      <w:r>
        <w:rPr>
          <w:rFonts w:hint="eastAsia" w:ascii="宋体" w:hAnsi="宋体" w:cs="宋体"/>
          <w:color w:val="000000"/>
          <w:sz w:val="28"/>
          <w:szCs w:val="28"/>
        </w:rPr>
        <w:drawing>
          <wp:inline distT="0" distB="0" distL="114300" distR="114300">
            <wp:extent cx="2406650" cy="1571625"/>
            <wp:effectExtent l="0" t="0" r="3175" b="0"/>
            <wp:docPr id="16" name="图片 16" descr="edebfb03ecd944d0638c87b73262e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debfb03ecd944d0638c87b73262e6b"/>
                    <pic:cNvPicPr>
                      <a:picLocks noChangeAspect="1"/>
                    </pic:cNvPicPr>
                  </pic:nvPicPr>
                  <pic:blipFill>
                    <a:blip r:embed="rId13"/>
                    <a:srcRect l="4443" t="10884" r="5683" b="10914"/>
                    <a:stretch>
                      <a:fillRect/>
                    </a:stretch>
                  </pic:blipFill>
                  <pic:spPr>
                    <a:xfrm>
                      <a:off x="0" y="0"/>
                      <a:ext cx="2406650" cy="1571625"/>
                    </a:xfrm>
                    <a:prstGeom prst="rect">
                      <a:avLst/>
                    </a:prstGeom>
                  </pic:spPr>
                </pic:pic>
              </a:graphicData>
            </a:graphic>
          </wp:inline>
        </w:drawing>
      </w:r>
      <w:r>
        <w:rPr>
          <w:rFonts w:hint="eastAsia" w:ascii="宋体" w:hAnsi="宋体" w:cs="宋体"/>
          <w:color w:val="000000"/>
          <w:sz w:val="28"/>
          <w:szCs w:val="28"/>
        </w:rPr>
        <w:drawing>
          <wp:inline distT="0" distB="0" distL="114300" distR="114300">
            <wp:extent cx="2337435" cy="1653540"/>
            <wp:effectExtent l="0" t="0" r="5715" b="3810"/>
            <wp:docPr id="15" name="图片 15" descr="dd09c53b43ddf11fc4dbf423fc8a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d09c53b43ddf11fc4dbf423fc8adb0"/>
                    <pic:cNvPicPr>
                      <a:picLocks noChangeAspect="1"/>
                    </pic:cNvPicPr>
                  </pic:nvPicPr>
                  <pic:blipFill>
                    <a:blip r:embed="rId14"/>
                    <a:stretch>
                      <a:fillRect/>
                    </a:stretch>
                  </pic:blipFill>
                  <pic:spPr>
                    <a:xfrm>
                      <a:off x="0" y="0"/>
                      <a:ext cx="2337435" cy="1653540"/>
                    </a:xfrm>
                    <a:prstGeom prst="rect">
                      <a:avLst/>
                    </a:prstGeom>
                  </pic:spPr>
                </pic:pic>
              </a:graphicData>
            </a:graphic>
          </wp:inline>
        </w:drawing>
      </w:r>
    </w:p>
    <w:p>
      <w:pPr>
        <w:pStyle w:val="19"/>
        <w:snapToGrid w:val="0"/>
        <w:spacing w:line="360" w:lineRule="auto"/>
        <w:jc w:val="center"/>
        <w:rPr>
          <w:rFonts w:ascii="宋体" w:hAnsi="宋体" w:cs="宋体"/>
          <w:color w:val="000000"/>
          <w:sz w:val="28"/>
          <w:szCs w:val="28"/>
        </w:rPr>
      </w:pPr>
      <w:r>
        <w:rPr>
          <w:rFonts w:hint="eastAsia" w:ascii="宋体" w:hAnsi="宋体" w:cs="宋体"/>
          <w:color w:val="000000"/>
          <w:sz w:val="22"/>
        </w:rPr>
        <w:t>“衡信杯”全国个税职业技能大赛获奖证书</w:t>
      </w:r>
    </w:p>
    <w:p>
      <w:pPr>
        <w:pStyle w:val="19"/>
        <w:snapToGrid w:val="0"/>
        <w:spacing w:line="360" w:lineRule="auto"/>
        <w:rPr>
          <w:rFonts w:ascii="宋体" w:hAnsi="宋体" w:cs="宋体"/>
          <w:color w:val="000000"/>
          <w:sz w:val="28"/>
          <w:szCs w:val="28"/>
        </w:rPr>
      </w:pPr>
    </w:p>
    <w:p>
      <w:pPr>
        <w:pStyle w:val="19"/>
        <w:snapToGrid w:val="0"/>
        <w:spacing w:line="360" w:lineRule="auto"/>
        <w:rPr>
          <w:rFonts w:ascii="宋体" w:hAnsi="宋体" w:cs="宋体"/>
          <w:color w:val="000000"/>
          <w:sz w:val="28"/>
          <w:szCs w:val="28"/>
        </w:rPr>
      </w:pPr>
      <w:r>
        <w:rPr>
          <w:rFonts w:hint="eastAsia" w:ascii="宋体" w:hAnsi="宋体" w:cs="宋体"/>
          <w:color w:val="000000"/>
          <w:sz w:val="28"/>
          <w:szCs w:val="28"/>
        </w:rPr>
        <w:drawing>
          <wp:inline distT="0" distB="0" distL="114300" distR="114300">
            <wp:extent cx="1739265" cy="1263015"/>
            <wp:effectExtent l="0" t="0" r="3810" b="3810"/>
            <wp:docPr id="3" name="图片 3" descr="侯睿哲-优秀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侯睿哲-优秀奖"/>
                    <pic:cNvPicPr>
                      <a:picLocks noChangeAspect="1"/>
                    </pic:cNvPicPr>
                  </pic:nvPicPr>
                  <pic:blipFill>
                    <a:blip r:embed="rId15"/>
                    <a:stretch>
                      <a:fillRect/>
                    </a:stretch>
                  </pic:blipFill>
                  <pic:spPr>
                    <a:xfrm>
                      <a:off x="0" y="0"/>
                      <a:ext cx="1739265" cy="1263015"/>
                    </a:xfrm>
                    <a:prstGeom prst="rect">
                      <a:avLst/>
                    </a:prstGeom>
                  </pic:spPr>
                </pic:pic>
              </a:graphicData>
            </a:graphic>
          </wp:inline>
        </w:drawing>
      </w:r>
      <w:r>
        <w:rPr>
          <w:rFonts w:hint="eastAsia" w:ascii="宋体" w:hAnsi="宋体" w:cs="宋体"/>
          <w:color w:val="000000"/>
          <w:sz w:val="28"/>
          <w:szCs w:val="28"/>
        </w:rPr>
        <w:drawing>
          <wp:inline distT="0" distB="0" distL="114300" distR="114300">
            <wp:extent cx="1741805" cy="1269365"/>
            <wp:effectExtent l="0" t="0" r="1270" b="6985"/>
            <wp:docPr id="7" name="图片 7" descr="关昕-优秀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关昕-优秀奖"/>
                    <pic:cNvPicPr>
                      <a:picLocks noChangeAspect="1"/>
                    </pic:cNvPicPr>
                  </pic:nvPicPr>
                  <pic:blipFill>
                    <a:blip r:embed="rId16"/>
                    <a:stretch>
                      <a:fillRect/>
                    </a:stretch>
                  </pic:blipFill>
                  <pic:spPr>
                    <a:xfrm>
                      <a:off x="0" y="0"/>
                      <a:ext cx="1741805" cy="1269365"/>
                    </a:xfrm>
                    <a:prstGeom prst="rect">
                      <a:avLst/>
                    </a:prstGeom>
                  </pic:spPr>
                </pic:pic>
              </a:graphicData>
            </a:graphic>
          </wp:inline>
        </w:drawing>
      </w:r>
      <w:r>
        <w:rPr>
          <w:rFonts w:hint="eastAsia" w:ascii="宋体" w:hAnsi="宋体" w:cs="宋体"/>
          <w:color w:val="000000"/>
          <w:sz w:val="28"/>
          <w:szCs w:val="28"/>
        </w:rPr>
        <w:drawing>
          <wp:inline distT="0" distB="0" distL="114300" distR="114300">
            <wp:extent cx="1774190" cy="1283335"/>
            <wp:effectExtent l="0" t="0" r="6985" b="2540"/>
            <wp:docPr id="8" name="图片 8" descr="贾景博-优秀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贾景博-优秀奖"/>
                    <pic:cNvPicPr>
                      <a:picLocks noChangeAspect="1"/>
                    </pic:cNvPicPr>
                  </pic:nvPicPr>
                  <pic:blipFill>
                    <a:blip r:embed="rId17"/>
                    <a:stretch>
                      <a:fillRect/>
                    </a:stretch>
                  </pic:blipFill>
                  <pic:spPr>
                    <a:xfrm>
                      <a:off x="0" y="0"/>
                      <a:ext cx="1774190" cy="1283335"/>
                    </a:xfrm>
                    <a:prstGeom prst="rect">
                      <a:avLst/>
                    </a:prstGeom>
                  </pic:spPr>
                </pic:pic>
              </a:graphicData>
            </a:graphic>
          </wp:inline>
        </w:drawing>
      </w:r>
      <w:r>
        <w:rPr>
          <w:rFonts w:hint="eastAsia" w:ascii="宋体" w:hAnsi="宋体" w:cs="宋体"/>
          <w:color w:val="000000"/>
          <w:sz w:val="28"/>
          <w:szCs w:val="28"/>
        </w:rPr>
        <w:drawing>
          <wp:inline distT="0" distB="0" distL="114300" distR="114300">
            <wp:extent cx="1707515" cy="1243965"/>
            <wp:effectExtent l="0" t="0" r="6985" b="3810"/>
            <wp:docPr id="9" name="图片 9" descr="马海花-优秀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马海花-优秀奖"/>
                    <pic:cNvPicPr>
                      <a:picLocks noChangeAspect="1"/>
                    </pic:cNvPicPr>
                  </pic:nvPicPr>
                  <pic:blipFill>
                    <a:blip r:embed="rId18"/>
                    <a:stretch>
                      <a:fillRect/>
                    </a:stretch>
                  </pic:blipFill>
                  <pic:spPr>
                    <a:xfrm>
                      <a:off x="0" y="0"/>
                      <a:ext cx="1707515" cy="1243965"/>
                    </a:xfrm>
                    <a:prstGeom prst="rect">
                      <a:avLst/>
                    </a:prstGeom>
                  </pic:spPr>
                </pic:pic>
              </a:graphicData>
            </a:graphic>
          </wp:inline>
        </w:drawing>
      </w:r>
      <w:r>
        <w:rPr>
          <w:rFonts w:hint="eastAsia" w:ascii="宋体" w:hAnsi="宋体" w:cs="宋体"/>
          <w:color w:val="000000"/>
          <w:sz w:val="28"/>
          <w:szCs w:val="28"/>
        </w:rPr>
        <w:drawing>
          <wp:inline distT="0" distB="0" distL="114300" distR="114300">
            <wp:extent cx="1741170" cy="1259840"/>
            <wp:effectExtent l="0" t="0" r="1905" b="6985"/>
            <wp:docPr id="10" name="图片 10" descr="宋爽爽-优秀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宋爽爽-优秀奖"/>
                    <pic:cNvPicPr>
                      <a:picLocks noChangeAspect="1"/>
                    </pic:cNvPicPr>
                  </pic:nvPicPr>
                  <pic:blipFill>
                    <a:blip r:embed="rId19"/>
                    <a:stretch>
                      <a:fillRect/>
                    </a:stretch>
                  </pic:blipFill>
                  <pic:spPr>
                    <a:xfrm>
                      <a:off x="0" y="0"/>
                      <a:ext cx="1741170" cy="1259840"/>
                    </a:xfrm>
                    <a:prstGeom prst="rect">
                      <a:avLst/>
                    </a:prstGeom>
                  </pic:spPr>
                </pic:pic>
              </a:graphicData>
            </a:graphic>
          </wp:inline>
        </w:drawing>
      </w:r>
      <w:r>
        <w:rPr>
          <w:rFonts w:hint="eastAsia" w:ascii="宋体" w:hAnsi="宋体" w:cs="宋体"/>
          <w:color w:val="000000"/>
          <w:sz w:val="28"/>
          <w:szCs w:val="28"/>
        </w:rPr>
        <w:drawing>
          <wp:inline distT="0" distB="0" distL="114300" distR="114300">
            <wp:extent cx="1757680" cy="1282065"/>
            <wp:effectExtent l="0" t="0" r="4445" b="3810"/>
            <wp:docPr id="11" name="图片 11" descr="张成-优秀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张成-优秀奖"/>
                    <pic:cNvPicPr>
                      <a:picLocks noChangeAspect="1"/>
                    </pic:cNvPicPr>
                  </pic:nvPicPr>
                  <pic:blipFill>
                    <a:blip r:embed="rId20"/>
                    <a:stretch>
                      <a:fillRect/>
                    </a:stretch>
                  </pic:blipFill>
                  <pic:spPr>
                    <a:xfrm>
                      <a:off x="0" y="0"/>
                      <a:ext cx="1757680" cy="1282065"/>
                    </a:xfrm>
                    <a:prstGeom prst="rect">
                      <a:avLst/>
                    </a:prstGeom>
                  </pic:spPr>
                </pic:pic>
              </a:graphicData>
            </a:graphic>
          </wp:inline>
        </w:drawing>
      </w:r>
    </w:p>
    <w:p>
      <w:pPr>
        <w:pStyle w:val="19"/>
        <w:snapToGrid w:val="0"/>
        <w:spacing w:line="360" w:lineRule="auto"/>
        <w:ind w:firstLine="440" w:firstLineChars="200"/>
        <w:jc w:val="center"/>
        <w:rPr>
          <w:rFonts w:ascii="宋体" w:hAnsi="宋体" w:cs="宋体"/>
          <w:color w:val="000000"/>
          <w:sz w:val="28"/>
          <w:szCs w:val="28"/>
        </w:rPr>
      </w:pPr>
      <w:r>
        <w:rPr>
          <w:rFonts w:hint="eastAsia" w:ascii="宋体" w:hAnsi="宋体" w:cs="宋体"/>
          <w:color w:val="000000"/>
          <w:sz w:val="22"/>
        </w:rPr>
        <w:t>新疆财经大学</w:t>
      </w:r>
      <w:r>
        <w:rPr>
          <w:rFonts w:ascii="宋体" w:hAnsi="宋体" w:cs="宋体"/>
          <w:color w:val="000000"/>
          <w:sz w:val="22"/>
        </w:rPr>
        <w:t>第十一届研究生学术论坛</w:t>
      </w:r>
      <w:r>
        <w:rPr>
          <w:rFonts w:hint="eastAsia" w:ascii="宋体" w:hAnsi="宋体" w:cs="宋体"/>
          <w:color w:val="000000"/>
          <w:sz w:val="22"/>
        </w:rPr>
        <w:t>获奖证书</w:t>
      </w:r>
    </w:p>
    <w:p>
      <w:pPr>
        <w:pStyle w:val="19"/>
        <w:snapToGrid w:val="0"/>
        <w:spacing w:line="360" w:lineRule="auto"/>
        <w:ind w:firstLine="560" w:firstLineChars="200"/>
        <w:rPr>
          <w:rFonts w:ascii="宋体" w:hAnsi="宋体" w:cs="宋体"/>
          <w:color w:val="000000"/>
          <w:sz w:val="28"/>
          <w:szCs w:val="28"/>
        </w:rPr>
      </w:pPr>
    </w:p>
    <w:p>
      <w:pPr>
        <w:ind w:firstLine="562" w:firstLineChars="200"/>
        <w:jc w:val="left"/>
        <w:outlineLvl w:val="1"/>
        <w:rPr>
          <w:rFonts w:ascii="宋体" w:hAnsi="宋体" w:cs="宋体"/>
          <w:b/>
          <w:bCs/>
          <w:color w:val="000000"/>
          <w:kern w:val="0"/>
          <w:sz w:val="28"/>
          <w:szCs w:val="28"/>
        </w:rPr>
      </w:pPr>
      <w:bookmarkStart w:id="9" w:name="_Toc16265"/>
      <w:bookmarkStart w:id="10" w:name="_Toc19202"/>
      <w:r>
        <w:rPr>
          <w:rFonts w:hint="eastAsia" w:ascii="宋体" w:hAnsi="宋体" w:cs="宋体"/>
          <w:b/>
          <w:bCs/>
          <w:color w:val="000000"/>
          <w:kern w:val="0"/>
          <w:sz w:val="28"/>
          <w:szCs w:val="28"/>
        </w:rPr>
        <w:t>（四）研究生导师状况</w:t>
      </w:r>
      <w:bookmarkEnd w:id="9"/>
      <w:bookmarkEnd w:id="10"/>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本学位点采取校内导师和行业导师联合培养的双导师制。截至2021年</w:t>
      </w:r>
      <w:r>
        <w:rPr>
          <w:rFonts w:ascii="宋体" w:hAnsi="宋体" w:cs="宋体"/>
          <w:color w:val="000000"/>
          <w:sz w:val="28"/>
          <w:szCs w:val="28"/>
        </w:rPr>
        <w:t>12</w:t>
      </w:r>
      <w:r>
        <w:rPr>
          <w:rFonts w:hint="eastAsia" w:ascii="宋体" w:hAnsi="宋体" w:cs="宋体"/>
          <w:color w:val="000000"/>
          <w:sz w:val="28"/>
          <w:szCs w:val="28"/>
        </w:rPr>
        <w:t>月，本学位授权点共</w:t>
      </w:r>
      <w:r>
        <w:rPr>
          <w:rFonts w:hint="eastAsia" w:ascii="宋体" w:hAnsi="宋体" w:cs="宋体"/>
          <w:sz w:val="28"/>
          <w:szCs w:val="28"/>
        </w:rPr>
        <w:t>有校内、外导师39人。</w:t>
      </w:r>
      <w:r>
        <w:rPr>
          <w:rFonts w:hint="eastAsia" w:ascii="宋体" w:hAnsi="宋体" w:cs="宋体"/>
          <w:color w:val="000000"/>
          <w:sz w:val="28"/>
          <w:szCs w:val="28"/>
        </w:rPr>
        <w:t>均有副高以上职称或博士学位或</w:t>
      </w:r>
      <w:bookmarkStart w:id="11" w:name="_Hlk96552202"/>
      <w:r>
        <w:rPr>
          <w:rFonts w:hint="eastAsia" w:ascii="宋体" w:hAnsi="宋体" w:cs="宋体"/>
          <w:color w:val="000000"/>
          <w:sz w:val="28"/>
          <w:szCs w:val="28"/>
        </w:rPr>
        <w:t>具有长期从业经验具备专业资质</w:t>
      </w:r>
      <w:bookmarkEnd w:id="11"/>
      <w:r>
        <w:rPr>
          <w:rFonts w:hint="eastAsia" w:ascii="宋体" w:hAnsi="宋体" w:cs="宋体"/>
          <w:color w:val="000000"/>
          <w:sz w:val="28"/>
          <w:szCs w:val="28"/>
        </w:rPr>
        <w:t>的教师担任。其中，校内导师9人，教授6人，占比6</w:t>
      </w:r>
      <w:r>
        <w:rPr>
          <w:rFonts w:ascii="宋体" w:hAnsi="宋体" w:cs="宋体"/>
          <w:color w:val="000000"/>
          <w:sz w:val="28"/>
          <w:szCs w:val="28"/>
        </w:rPr>
        <w:t>7%</w:t>
      </w:r>
      <w:r>
        <w:rPr>
          <w:rFonts w:hint="eastAsia" w:ascii="宋体" w:hAnsi="宋体" w:cs="宋体"/>
          <w:color w:val="000000"/>
          <w:sz w:val="28"/>
          <w:szCs w:val="28"/>
        </w:rPr>
        <w:t>，副教授3人，占比3</w:t>
      </w:r>
      <w:r>
        <w:rPr>
          <w:rFonts w:ascii="宋体" w:hAnsi="宋体" w:cs="宋体"/>
          <w:color w:val="000000"/>
          <w:sz w:val="28"/>
          <w:szCs w:val="28"/>
        </w:rPr>
        <w:t>3%</w:t>
      </w:r>
      <w:r>
        <w:rPr>
          <w:rFonts w:hint="eastAsia" w:ascii="宋体" w:hAnsi="宋体" w:cs="宋体"/>
          <w:color w:val="000000"/>
          <w:sz w:val="28"/>
          <w:szCs w:val="28"/>
        </w:rPr>
        <w:t>。校外行业导师30人，均具有长期从业经验。导师数量和结构完全能满足本学位点学生培养各环节的需要。</w:t>
      </w:r>
    </w:p>
    <w:p>
      <w:pPr>
        <w:pStyle w:val="19"/>
        <w:snapToGrid w:val="0"/>
        <w:spacing w:line="360" w:lineRule="auto"/>
        <w:ind w:firstLine="420" w:firstLineChars="200"/>
        <w:jc w:val="center"/>
        <w:rPr>
          <w:rFonts w:ascii="宋体" w:hAnsi="宋体" w:cs="宋体"/>
          <w:color w:val="000000"/>
          <w:sz w:val="28"/>
          <w:szCs w:val="28"/>
          <w:highlight w:val="yellow"/>
        </w:rPr>
      </w:pPr>
      <w:r>
        <w:drawing>
          <wp:inline distT="0" distB="0" distL="114300" distR="114300">
            <wp:extent cx="2738120" cy="2142490"/>
            <wp:effectExtent l="0" t="0" r="5080" b="635"/>
            <wp:docPr id="1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本学位授权点按照导师岗位职责的要求，进一步明确导师工作职责，建立导师（校内外）与学生的定期交流制度。要求导师（校内）通过与学生定期见面或利用电话、网络等方式进行学术、生活等方面的指导和交流，且保留书面记录作为档案留存。积极落实导师例会制度，讨论研究生培养中存在的问题并及时协调解决。</w:t>
      </w:r>
    </w:p>
    <w:p>
      <w:pPr>
        <w:ind w:firstLine="560" w:firstLineChars="200"/>
        <w:jc w:val="left"/>
        <w:outlineLvl w:val="0"/>
        <w:rPr>
          <w:rFonts w:ascii="黑体" w:hAnsi="黑体" w:eastAsia="黑体" w:cs="黑体"/>
          <w:sz w:val="32"/>
          <w:szCs w:val="32"/>
        </w:rPr>
      </w:pPr>
      <w:bookmarkStart w:id="12" w:name="_Toc30546"/>
      <w:bookmarkStart w:id="13" w:name="_Toc21379"/>
      <w:r>
        <w:rPr>
          <w:rFonts w:ascii="黑体" w:hAnsi="黑体" w:eastAsia="黑体"/>
          <w:sz w:val="28"/>
          <w:szCs w:val="28"/>
        </w:rPr>
        <w:t>二、研究生党建与思想政治教育工作</w:t>
      </w:r>
      <w:bookmarkEnd w:id="12"/>
      <w:bookmarkEnd w:id="13"/>
    </w:p>
    <w:p>
      <w:pPr>
        <w:pStyle w:val="19"/>
        <w:snapToGrid w:val="0"/>
        <w:spacing w:line="360" w:lineRule="auto"/>
        <w:ind w:firstLine="560" w:firstLineChars="200"/>
        <w:rPr>
          <w:rFonts w:ascii="宋体" w:hAnsi="宋体" w:cs="宋体"/>
          <w:color w:val="000000"/>
          <w:sz w:val="28"/>
          <w:szCs w:val="28"/>
        </w:rPr>
      </w:pPr>
      <w:r>
        <w:rPr>
          <w:rFonts w:ascii="宋体" w:hAnsi="宋体" w:cs="宋体"/>
          <w:color w:val="000000"/>
          <w:sz w:val="28"/>
          <w:szCs w:val="28"/>
        </w:rPr>
        <w:t>思想政治教育队伍建设，理想信念和社会主义核心价值观教育，校园文化建设，日常管理服务工作。</w:t>
      </w:r>
    </w:p>
    <w:p>
      <w:pPr>
        <w:spacing w:line="360" w:lineRule="auto"/>
        <w:ind w:firstLine="562" w:firstLineChars="200"/>
        <w:jc w:val="left"/>
        <w:outlineLvl w:val="1"/>
        <w:rPr>
          <w:rFonts w:ascii="宋体" w:hAnsi="宋体" w:cs="宋体"/>
          <w:b/>
          <w:bCs/>
          <w:color w:val="000000"/>
          <w:kern w:val="0"/>
          <w:sz w:val="28"/>
          <w:szCs w:val="28"/>
        </w:rPr>
      </w:pPr>
      <w:bookmarkStart w:id="14" w:name="_Toc5479"/>
      <w:bookmarkStart w:id="15" w:name="_Toc30597"/>
      <w:r>
        <w:rPr>
          <w:rFonts w:hint="eastAsia" w:ascii="宋体" w:hAnsi="宋体" w:cs="宋体"/>
          <w:b/>
          <w:bCs/>
          <w:color w:val="000000"/>
          <w:kern w:val="0"/>
          <w:sz w:val="28"/>
          <w:szCs w:val="28"/>
        </w:rPr>
        <w:t>（一）</w:t>
      </w:r>
      <w:r>
        <w:rPr>
          <w:rFonts w:ascii="宋体" w:hAnsi="宋体" w:cs="宋体"/>
          <w:b/>
          <w:bCs/>
          <w:color w:val="000000"/>
          <w:kern w:val="0"/>
          <w:sz w:val="28"/>
          <w:szCs w:val="28"/>
        </w:rPr>
        <w:t>思想政治教育队伍建设</w:t>
      </w:r>
      <w:bookmarkEnd w:id="14"/>
      <w:bookmarkEnd w:id="15"/>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校党委加强组织领导，设立专门的思想政治工作领导机构，形成党委统一领导、党政齐抓共管、部门分工合作、院系具体落实的工作格局。加强思政队伍建设，配齐配强思政队伍，选配研究生辅导员，设立研究生德育专项课题，全面提升思政队伍业务能力。</w:t>
      </w:r>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提升基层党组织凝聚力，打造标杆党支部，发挥党建引领作用。税收系党支部作为首批自治区高校党组织“对标争先”党建工作样板支部，2</w:t>
      </w:r>
      <w:r>
        <w:rPr>
          <w:rFonts w:ascii="宋体" w:hAnsi="宋体" w:cs="宋体"/>
          <w:color w:val="000000"/>
          <w:sz w:val="28"/>
          <w:szCs w:val="28"/>
        </w:rPr>
        <w:t>021</w:t>
      </w:r>
      <w:r>
        <w:rPr>
          <w:rFonts w:hint="eastAsia" w:ascii="宋体" w:hAnsi="宋体" w:cs="宋体"/>
          <w:color w:val="000000"/>
          <w:sz w:val="28"/>
          <w:szCs w:val="28"/>
        </w:rPr>
        <w:t>年，努力提升基层党组织凝聚力，以“党建引领、促进发展”为首要使命，以“凝聚人心、干事创业”为根本要务，促进党建与专业教学工作的深度融合，积极推动研究生课程思政建设工作。</w:t>
      </w:r>
    </w:p>
    <w:p>
      <w:pPr>
        <w:pStyle w:val="17"/>
        <w:spacing w:before="1" w:line="360" w:lineRule="auto"/>
        <w:ind w:firstLine="562" w:firstLineChars="200"/>
        <w:outlineLvl w:val="1"/>
        <w:rPr>
          <w:b/>
          <w:bCs/>
          <w:color w:val="000000"/>
          <w:kern w:val="0"/>
          <w:sz w:val="28"/>
          <w:szCs w:val="28"/>
          <w:lang w:val="en-US" w:bidi="ar-SA"/>
        </w:rPr>
      </w:pPr>
      <w:bookmarkStart w:id="16" w:name="_Toc23688"/>
      <w:bookmarkStart w:id="17" w:name="_Toc31389"/>
      <w:r>
        <w:rPr>
          <w:rFonts w:hint="eastAsia"/>
          <w:b/>
          <w:bCs/>
          <w:color w:val="000000"/>
          <w:kern w:val="0"/>
          <w:sz w:val="28"/>
          <w:szCs w:val="28"/>
          <w:lang w:val="en-US" w:bidi="ar-SA"/>
        </w:rPr>
        <w:t>（二）</w:t>
      </w:r>
      <w:r>
        <w:rPr>
          <w:b/>
          <w:bCs/>
          <w:color w:val="000000"/>
          <w:kern w:val="0"/>
          <w:sz w:val="28"/>
          <w:szCs w:val="28"/>
          <w:lang w:val="en-US" w:bidi="ar-SA"/>
        </w:rPr>
        <w:t>理想信念和社会主义核心价值观教育</w:t>
      </w:r>
      <w:bookmarkEnd w:id="16"/>
      <w:bookmarkEnd w:id="17"/>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多层次、全方位对学生进行理想信念和社会主义核心价值观教育，培养合格的高水平税务专业人才，是本学位点一贯坚持的准则。导师言传身教强化对学生个人品德培养。</w:t>
      </w:r>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多维度引导学生树立正确的理想信念与社会主义核心价值观。一是通过制度建设、学术道德规范讲座以及教师课堂教学、科研训练等活动引导学生树立正确的社会主义核心价值观；二是行业导师、行业专家通过专题讲座向学生宣讲正确的职业价值观；三是校友通过“优秀校友讲励志”发挥榜样示范作用，引导学生坚定理想信念。</w:t>
      </w:r>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多措并举培养模式初见成效。研究生积极主动参加青年志愿者协会、抗疫志愿者等志愿者服务队伍，帮助本科生辅导数学、英语，协助学院开展各项日常管理工作，体现出良好的集体主义精神和端正的思想态度。在疫情防控工作中，本学位点研究生能够做到识大体，顾大局，主动参加抗击疫情志愿活动，全力配合学校开展各项工作，在疫情防控中发挥重要作用。毕业生都能深入基层一线，扎实做好本职工作，用人单位满意度高。</w:t>
      </w:r>
    </w:p>
    <w:p>
      <w:pPr>
        <w:ind w:firstLine="562" w:firstLineChars="200"/>
        <w:jc w:val="left"/>
        <w:outlineLvl w:val="1"/>
        <w:rPr>
          <w:rFonts w:ascii="宋体" w:hAnsi="宋体" w:cs="宋体"/>
          <w:b/>
          <w:bCs/>
          <w:color w:val="000000"/>
          <w:kern w:val="0"/>
          <w:sz w:val="28"/>
          <w:szCs w:val="28"/>
        </w:rPr>
      </w:pPr>
      <w:bookmarkStart w:id="18" w:name="_Toc3579"/>
      <w:bookmarkStart w:id="19" w:name="_Toc27884"/>
      <w:r>
        <w:rPr>
          <w:rFonts w:hint="eastAsia" w:ascii="宋体" w:hAnsi="宋体" w:cs="宋体"/>
          <w:b/>
          <w:bCs/>
          <w:color w:val="000000"/>
          <w:kern w:val="0"/>
          <w:sz w:val="28"/>
          <w:szCs w:val="28"/>
        </w:rPr>
        <w:t>（三）</w:t>
      </w:r>
      <w:r>
        <w:rPr>
          <w:rFonts w:ascii="宋体" w:hAnsi="宋体" w:cs="宋体"/>
          <w:b/>
          <w:bCs/>
          <w:color w:val="000000"/>
          <w:kern w:val="0"/>
          <w:sz w:val="28"/>
          <w:szCs w:val="28"/>
        </w:rPr>
        <w:t>校园文化建设</w:t>
      </w:r>
      <w:bookmarkEnd w:id="18"/>
      <w:bookmarkEnd w:id="19"/>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zh-TW" w:eastAsia="zh-TW"/>
        </w:rPr>
        <w:t>加强校园文化建设，充分发挥校园文化育人的重要作用。</w:t>
      </w:r>
      <w:r>
        <w:rPr>
          <w:rFonts w:hint="eastAsia" w:ascii="宋体" w:hAnsi="宋体" w:cs="宋体"/>
          <w:color w:val="000000"/>
          <w:sz w:val="28"/>
          <w:szCs w:val="28"/>
        </w:rPr>
        <w:t>开展了五一趣味活动</w:t>
      </w:r>
      <w:r>
        <w:rPr>
          <w:rFonts w:hint="eastAsia" w:ascii="宋体" w:hAnsi="宋体" w:cs="宋体"/>
          <w:color w:val="000000"/>
          <w:sz w:val="28"/>
          <w:szCs w:val="28"/>
          <w:lang w:val="zh-TW" w:eastAsia="zh-TW"/>
        </w:rPr>
        <w:t>、</w:t>
      </w:r>
      <w:r>
        <w:rPr>
          <w:rFonts w:hint="eastAsia" w:ascii="宋体" w:hAnsi="宋体" w:cs="宋体"/>
          <w:color w:val="000000"/>
          <w:sz w:val="28"/>
          <w:szCs w:val="28"/>
        </w:rPr>
        <w:t>中华优秀传统文化理论与实践</w:t>
      </w:r>
      <w:r>
        <w:rPr>
          <w:rFonts w:hint="eastAsia" w:ascii="宋体" w:hAnsi="宋体" w:cs="宋体"/>
          <w:color w:val="000000"/>
          <w:sz w:val="28"/>
          <w:szCs w:val="28"/>
          <w:lang w:val="zh-TW" w:eastAsia="zh-TW"/>
        </w:rPr>
        <w:t>进校园、</w:t>
      </w:r>
      <w:r>
        <w:rPr>
          <w:rFonts w:hint="eastAsia" w:ascii="宋体" w:hAnsi="宋体" w:cs="宋体"/>
          <w:color w:val="000000"/>
          <w:sz w:val="28"/>
          <w:szCs w:val="28"/>
        </w:rPr>
        <w:t>迎新晚会</w:t>
      </w:r>
      <w:r>
        <w:rPr>
          <w:rFonts w:hint="eastAsia" w:ascii="宋体" w:hAnsi="宋体" w:cs="宋体"/>
          <w:color w:val="000000"/>
          <w:sz w:val="28"/>
          <w:szCs w:val="28"/>
          <w:lang w:val="zh-TW" w:eastAsia="zh-TW"/>
        </w:rPr>
        <w:t>、</w:t>
      </w:r>
      <w:r>
        <w:rPr>
          <w:rFonts w:hint="eastAsia" w:ascii="宋体" w:hAnsi="宋体" w:cs="宋体"/>
          <w:color w:val="000000"/>
          <w:sz w:val="28"/>
          <w:szCs w:val="28"/>
        </w:rPr>
        <w:t>开学典礼</w:t>
      </w:r>
      <w:r>
        <w:rPr>
          <w:rFonts w:hint="eastAsia" w:ascii="宋体" w:hAnsi="宋体" w:cs="宋体"/>
          <w:color w:val="000000"/>
          <w:sz w:val="28"/>
          <w:szCs w:val="28"/>
          <w:lang w:val="zh-TW" w:eastAsia="zh-TW"/>
        </w:rPr>
        <w:t>等</w:t>
      </w:r>
      <w:r>
        <w:rPr>
          <w:rFonts w:hint="eastAsia" w:ascii="宋体" w:hAnsi="宋体" w:cs="宋体"/>
          <w:color w:val="000000"/>
          <w:sz w:val="28"/>
          <w:szCs w:val="28"/>
        </w:rPr>
        <w:t>一</w:t>
      </w:r>
      <w:r>
        <w:rPr>
          <w:rFonts w:hint="eastAsia" w:ascii="宋体" w:hAnsi="宋体" w:cs="宋体"/>
          <w:color w:val="000000"/>
          <w:sz w:val="28"/>
          <w:szCs w:val="28"/>
          <w:lang w:val="zh-TW" w:eastAsia="zh-TW"/>
        </w:rPr>
        <w:t>系列丰富多彩的文化系列主题教育活动，使学生在潜移默化中受到熏陶。</w:t>
      </w:r>
      <w:r>
        <w:rPr>
          <w:rFonts w:hint="eastAsia" w:ascii="宋体" w:hAnsi="宋体" w:cs="宋体"/>
          <w:color w:val="000000"/>
          <w:sz w:val="28"/>
          <w:szCs w:val="28"/>
        </w:rPr>
        <w:t>2021年5月2日，学院研究生组在“青春无极限，院会合家欢”五一趣味活动中荣获三等奖。</w:t>
      </w:r>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持续推进“五育宿舍”创建工作，以宿舍为载体，开展“团结宿舍、学习宿舍、文体宿舍、文明安全宿舍、劳动卫生宿舍”创建活动，形成“比、学、赶、帮、超”的优良学风校风。</w:t>
      </w:r>
    </w:p>
    <w:p>
      <w:pPr>
        <w:spacing w:line="360" w:lineRule="auto"/>
        <w:ind w:firstLine="562" w:firstLineChars="200"/>
        <w:jc w:val="left"/>
        <w:outlineLvl w:val="1"/>
        <w:rPr>
          <w:rFonts w:ascii="宋体" w:hAnsi="宋体" w:cs="宋体"/>
          <w:b/>
          <w:bCs/>
          <w:color w:val="000000"/>
          <w:kern w:val="0"/>
          <w:sz w:val="28"/>
          <w:szCs w:val="28"/>
        </w:rPr>
      </w:pPr>
      <w:bookmarkStart w:id="20" w:name="_Toc25678"/>
      <w:bookmarkStart w:id="21" w:name="_Toc2151"/>
      <w:r>
        <w:rPr>
          <w:rFonts w:hint="eastAsia" w:ascii="宋体" w:hAnsi="宋体" w:cs="宋体"/>
          <w:b/>
          <w:bCs/>
          <w:color w:val="000000"/>
          <w:kern w:val="0"/>
          <w:sz w:val="28"/>
          <w:szCs w:val="28"/>
        </w:rPr>
        <w:t>（四）</w:t>
      </w:r>
      <w:r>
        <w:rPr>
          <w:rFonts w:ascii="宋体" w:hAnsi="宋体" w:cs="宋体"/>
          <w:b/>
          <w:bCs/>
          <w:color w:val="000000"/>
          <w:kern w:val="0"/>
          <w:sz w:val="28"/>
          <w:szCs w:val="28"/>
        </w:rPr>
        <w:t>日常管理服务工作</w:t>
      </w:r>
      <w:bookmarkEnd w:id="20"/>
      <w:bookmarkEnd w:id="21"/>
    </w:p>
    <w:p>
      <w:pPr>
        <w:pStyle w:val="19"/>
        <w:snapToGrid w:val="0"/>
        <w:spacing w:line="360" w:lineRule="auto"/>
        <w:ind w:firstLine="560" w:firstLineChars="200"/>
        <w:rPr>
          <w:rFonts w:ascii="宋体" w:hAnsi="宋体" w:cs="宋体"/>
          <w:sz w:val="28"/>
          <w:szCs w:val="28"/>
          <w:lang w:val="zh-TW"/>
        </w:rPr>
      </w:pPr>
      <w:r>
        <w:rPr>
          <w:rFonts w:hint="eastAsia" w:ascii="宋体" w:hAnsi="宋体" w:cs="宋体"/>
          <w:sz w:val="28"/>
          <w:szCs w:val="28"/>
          <w:lang w:val="zh-TW" w:eastAsia="zh-TW"/>
        </w:rPr>
        <w:t>切实推进日常管理服务与思政教育工作的</w:t>
      </w:r>
      <w:r>
        <w:rPr>
          <w:rFonts w:hint="eastAsia" w:ascii="宋体" w:hAnsi="宋体" w:cs="宋体"/>
          <w:sz w:val="28"/>
          <w:szCs w:val="28"/>
          <w:lang w:val="zh-TW"/>
        </w:rPr>
        <w:t>有机</w:t>
      </w:r>
      <w:r>
        <w:rPr>
          <w:rFonts w:hint="eastAsia" w:ascii="宋体" w:hAnsi="宋体" w:cs="宋体"/>
          <w:sz w:val="28"/>
          <w:szCs w:val="28"/>
          <w:lang w:val="zh-TW" w:eastAsia="zh-TW"/>
        </w:rPr>
        <w:t>融合</w:t>
      </w:r>
      <w:r>
        <w:rPr>
          <w:rFonts w:hint="eastAsia" w:ascii="宋体" w:hAnsi="宋体" w:cs="宋体"/>
          <w:sz w:val="28"/>
          <w:szCs w:val="28"/>
          <w:lang w:val="zh-TW"/>
        </w:rPr>
        <w:t>，形成导师、</w:t>
      </w:r>
      <w:r>
        <w:rPr>
          <w:rFonts w:hint="eastAsia" w:ascii="宋体" w:hAnsi="宋体" w:cs="宋体"/>
          <w:sz w:val="28"/>
          <w:szCs w:val="28"/>
          <w:lang w:val="zh-TW" w:eastAsia="zh-TW"/>
        </w:rPr>
        <w:t>班主任、辅导员、书记</w:t>
      </w:r>
      <w:r>
        <w:rPr>
          <w:rFonts w:hint="eastAsia" w:ascii="宋体" w:hAnsi="宋体" w:cs="宋体"/>
          <w:sz w:val="28"/>
          <w:szCs w:val="28"/>
          <w:lang w:val="zh-TW"/>
        </w:rPr>
        <w:t>多层级共同管理机制，制定《新疆财经大学硕士研究生培养实施细则》、《新疆财经大学研究生档案管理工作细则》、《新疆财经大学学生社团管理办法》等一系列管理细则</w:t>
      </w:r>
      <w:r>
        <w:rPr>
          <w:rFonts w:hint="eastAsia" w:ascii="宋体" w:hAnsi="宋体" w:cs="宋体"/>
          <w:sz w:val="28"/>
          <w:szCs w:val="28"/>
          <w:lang w:val="zh-TW" w:eastAsia="zh-TW"/>
        </w:rPr>
        <w:t>。依托</w:t>
      </w:r>
      <w:r>
        <w:rPr>
          <w:rFonts w:hint="eastAsia" w:ascii="宋体" w:hAnsi="宋体" w:cs="宋体"/>
          <w:sz w:val="28"/>
          <w:szCs w:val="28"/>
          <w:lang w:val="zh-TW"/>
        </w:rPr>
        <w:t>“</w:t>
      </w:r>
      <w:r>
        <w:rPr>
          <w:rFonts w:hint="eastAsia" w:ascii="宋体" w:hAnsi="宋体" w:cs="宋体"/>
          <w:sz w:val="28"/>
          <w:szCs w:val="28"/>
        </w:rPr>
        <w:t>三进两联一交友”</w:t>
      </w:r>
      <w:r>
        <w:rPr>
          <w:rFonts w:hint="eastAsia" w:ascii="宋体" w:hAnsi="宋体" w:cs="宋体"/>
          <w:sz w:val="28"/>
          <w:szCs w:val="28"/>
          <w:lang w:val="zh-TW" w:eastAsia="zh-TW"/>
        </w:rPr>
        <w:t>活动，对学生日常学习以及生活中遇到的各种困难，给予更加有</w:t>
      </w:r>
      <w:r>
        <w:rPr>
          <w:rFonts w:hint="eastAsia" w:ascii="宋体" w:hAnsi="宋体" w:cs="宋体"/>
          <w:sz w:val="28"/>
          <w:szCs w:val="28"/>
          <w:lang w:val="zh-TW"/>
        </w:rPr>
        <w:t>针对性的引导</w:t>
      </w:r>
      <w:r>
        <w:rPr>
          <w:rFonts w:hint="eastAsia" w:ascii="宋体" w:hAnsi="宋体" w:cs="宋体"/>
          <w:sz w:val="28"/>
          <w:szCs w:val="28"/>
          <w:lang w:val="zh-TW" w:eastAsia="zh-TW"/>
        </w:rPr>
        <w:t>。</w:t>
      </w:r>
    </w:p>
    <w:p>
      <w:pPr>
        <w:pStyle w:val="19"/>
        <w:snapToGrid w:val="0"/>
        <w:spacing w:line="360" w:lineRule="auto"/>
        <w:ind w:firstLine="560" w:firstLineChars="200"/>
        <w:rPr>
          <w:rFonts w:ascii="宋体" w:hAnsi="宋体" w:cs="宋体"/>
          <w:color w:val="000000"/>
          <w:sz w:val="28"/>
          <w:szCs w:val="28"/>
          <w:lang w:val="zh-TW"/>
        </w:rPr>
      </w:pPr>
      <w:r>
        <w:rPr>
          <w:rFonts w:hint="eastAsia" w:ascii="宋体" w:hAnsi="宋体" w:cs="宋体"/>
          <w:color w:val="000000"/>
          <w:sz w:val="28"/>
          <w:szCs w:val="28"/>
          <w:lang w:val="zh-TW" w:eastAsia="zh-TW"/>
        </w:rPr>
        <w:t>加强大学生就业创业服务工作、就业指导服务工作与思想教育有机融合，</w:t>
      </w:r>
      <w:r>
        <w:rPr>
          <w:rFonts w:hint="eastAsia" w:ascii="宋体" w:hAnsi="宋体" w:cs="宋体"/>
          <w:color w:val="000000"/>
          <w:sz w:val="28"/>
          <w:szCs w:val="28"/>
          <w:lang w:val="zh-TW"/>
        </w:rPr>
        <w:t>制定</w:t>
      </w:r>
      <w:r>
        <w:rPr>
          <w:rFonts w:hint="eastAsia" w:ascii="宋体" w:hAnsi="宋体" w:cs="宋体"/>
          <w:sz w:val="28"/>
          <w:szCs w:val="28"/>
          <w:lang w:val="zh-TW"/>
        </w:rPr>
        <w:t>《新疆财经大学研究生就业工作细则》，</w:t>
      </w:r>
      <w:r>
        <w:rPr>
          <w:rFonts w:hint="eastAsia" w:ascii="宋体" w:hAnsi="宋体" w:cs="宋体"/>
          <w:color w:val="000000"/>
          <w:sz w:val="28"/>
          <w:szCs w:val="28"/>
          <w:lang w:val="zh-TW" w:eastAsia="zh-TW"/>
        </w:rPr>
        <w:t>培养有格局、能担当的新时代大学生。依托学科特色和智力优势，主动对接</w:t>
      </w:r>
      <w:r>
        <w:rPr>
          <w:rFonts w:hint="eastAsia" w:ascii="宋体" w:hAnsi="宋体" w:cs="宋体"/>
          <w:color w:val="000000"/>
          <w:sz w:val="28"/>
          <w:szCs w:val="28"/>
        </w:rPr>
        <w:t>税务</w:t>
      </w:r>
      <w:r>
        <w:rPr>
          <w:rFonts w:hint="eastAsia" w:ascii="宋体" w:hAnsi="宋体" w:cs="宋体"/>
          <w:color w:val="000000"/>
          <w:sz w:val="28"/>
          <w:szCs w:val="28"/>
          <w:lang w:val="zh-TW" w:eastAsia="zh-TW"/>
        </w:rPr>
        <w:t>行业和领域的用人单位，为社会输送优秀人才</w:t>
      </w:r>
      <w:r>
        <w:rPr>
          <w:rFonts w:hint="eastAsia" w:ascii="宋体" w:hAnsi="宋体" w:cs="宋体"/>
          <w:color w:val="000000"/>
          <w:sz w:val="28"/>
          <w:szCs w:val="28"/>
          <w:lang w:val="zh-TW"/>
        </w:rPr>
        <w:t>。</w:t>
      </w:r>
    </w:p>
    <w:p>
      <w:pPr>
        <w:pStyle w:val="19"/>
        <w:snapToGrid w:val="0"/>
        <w:spacing w:line="360" w:lineRule="auto"/>
        <w:ind w:firstLine="560" w:firstLineChars="200"/>
        <w:rPr>
          <w:rFonts w:ascii="宋体" w:hAnsi="宋体" w:cs="宋体"/>
          <w:color w:val="000000"/>
          <w:sz w:val="28"/>
          <w:szCs w:val="28"/>
          <w:lang w:val="zh-TW" w:eastAsia="zh-TW"/>
        </w:rPr>
      </w:pPr>
      <w:r>
        <w:rPr>
          <w:rFonts w:hint="eastAsia" w:ascii="宋体" w:hAnsi="宋体" w:cs="宋体"/>
          <w:color w:val="000000"/>
          <w:sz w:val="28"/>
          <w:szCs w:val="28"/>
          <w:lang w:val="zh-TW" w:eastAsia="zh-TW"/>
        </w:rPr>
        <w:t>发挥专业特色，推动科研育人与实践育人相结合。以全方位、立体化的大学生社会实践活动为载体，进一步提高育人的实效性，组织学生在</w:t>
      </w:r>
      <w:r>
        <w:rPr>
          <w:rFonts w:hint="eastAsia" w:ascii="宋体" w:hAnsi="宋体" w:cs="宋体"/>
          <w:color w:val="000000"/>
          <w:sz w:val="28"/>
          <w:szCs w:val="28"/>
        </w:rPr>
        <w:t>税务机关、事务所等实践基地进行</w:t>
      </w:r>
      <w:r>
        <w:rPr>
          <w:rFonts w:hint="eastAsia" w:ascii="宋体" w:hAnsi="宋体" w:cs="宋体"/>
          <w:color w:val="000000"/>
          <w:sz w:val="28"/>
          <w:szCs w:val="28"/>
          <w:lang w:val="zh-TW" w:eastAsia="zh-TW"/>
        </w:rPr>
        <w:t>专业实习，不断完善实践教学体系、提升学生专业自信、强化实践能力。以积极推动财税改革服务地方和国家向西开放战略系列研究项目为基础，鼓励学生积极开展融区情调查、社会实践、科学研究三位一体的实践育人模式。</w:t>
      </w:r>
    </w:p>
    <w:p>
      <w:pPr>
        <w:pStyle w:val="17"/>
        <w:spacing w:line="360" w:lineRule="auto"/>
        <w:ind w:firstLine="560" w:firstLineChars="200"/>
        <w:outlineLvl w:val="0"/>
        <w:rPr>
          <w:rFonts w:ascii="黑体" w:hAnsi="黑体" w:eastAsia="黑体" w:cs="Times New Roman"/>
          <w:sz w:val="28"/>
          <w:szCs w:val="28"/>
          <w:lang w:val="en-US"/>
        </w:rPr>
      </w:pPr>
      <w:bookmarkStart w:id="22" w:name="_Toc25532"/>
      <w:bookmarkStart w:id="23" w:name="_Toc28360"/>
      <w:bookmarkStart w:id="24" w:name="_Toc28458"/>
      <w:r>
        <w:rPr>
          <w:rFonts w:hint="eastAsia" w:ascii="黑体" w:hAnsi="黑体" w:eastAsia="黑体" w:cs="Times New Roman"/>
          <w:sz w:val="28"/>
          <w:szCs w:val="28"/>
          <w:lang w:val="en-US"/>
        </w:rPr>
        <w:t>三、</w:t>
      </w:r>
      <w:r>
        <w:rPr>
          <w:rFonts w:ascii="黑体" w:hAnsi="黑体" w:eastAsia="黑体" w:cs="Times New Roman"/>
          <w:sz w:val="28"/>
          <w:szCs w:val="28"/>
          <w:lang w:val="en-US"/>
        </w:rPr>
        <w:t>研究生培养相关制度及执行情况</w:t>
      </w:r>
      <w:bookmarkEnd w:id="22"/>
      <w:bookmarkEnd w:id="23"/>
      <w:bookmarkEnd w:id="24"/>
    </w:p>
    <w:p>
      <w:pPr>
        <w:pStyle w:val="19"/>
        <w:snapToGrid w:val="0"/>
        <w:spacing w:line="360" w:lineRule="auto"/>
        <w:ind w:firstLine="560" w:firstLineChars="200"/>
        <w:rPr>
          <w:rFonts w:ascii="宋体" w:hAnsi="宋体" w:cs="宋体"/>
          <w:color w:val="000000"/>
          <w:sz w:val="28"/>
          <w:szCs w:val="28"/>
        </w:rPr>
      </w:pPr>
      <w:r>
        <w:rPr>
          <w:rFonts w:ascii="宋体" w:hAnsi="宋体" w:cs="宋体"/>
          <w:color w:val="000000"/>
          <w:sz w:val="28"/>
          <w:szCs w:val="28"/>
        </w:rPr>
        <w:t>课程建设与实施情况，导师选拔培训、师德师风建设情况，学术训练情况，学术交流情况，研究生奖助情况。</w:t>
      </w:r>
    </w:p>
    <w:p>
      <w:pPr>
        <w:pStyle w:val="19"/>
        <w:spacing w:line="360" w:lineRule="auto"/>
        <w:ind w:firstLine="562" w:firstLineChars="200"/>
        <w:outlineLvl w:val="1"/>
        <w:rPr>
          <w:rFonts w:ascii="宋体" w:hAnsi="宋体" w:cs="宋体"/>
          <w:b/>
          <w:bCs/>
          <w:color w:val="000000"/>
          <w:sz w:val="28"/>
          <w:szCs w:val="28"/>
        </w:rPr>
      </w:pPr>
      <w:bookmarkStart w:id="25" w:name="_Toc22254"/>
      <w:bookmarkStart w:id="26" w:name="_Toc7670"/>
      <w:r>
        <w:rPr>
          <w:rFonts w:hint="eastAsia" w:ascii="宋体" w:hAnsi="宋体" w:cs="宋体"/>
          <w:b/>
          <w:bCs/>
          <w:color w:val="000000"/>
          <w:sz w:val="28"/>
          <w:szCs w:val="28"/>
        </w:rPr>
        <w:t>（一）</w:t>
      </w:r>
      <w:r>
        <w:rPr>
          <w:rFonts w:ascii="宋体" w:hAnsi="宋体" w:cs="宋体"/>
          <w:b/>
          <w:bCs/>
          <w:color w:val="000000"/>
          <w:sz w:val="28"/>
          <w:szCs w:val="28"/>
        </w:rPr>
        <w:t>课程建设与实施情况</w:t>
      </w:r>
      <w:bookmarkEnd w:id="25"/>
      <w:bookmarkEnd w:id="26"/>
    </w:p>
    <w:p>
      <w:pPr>
        <w:pStyle w:val="19"/>
        <w:spacing w:line="360" w:lineRule="auto"/>
        <w:ind w:firstLine="562" w:firstLineChars="200"/>
        <w:outlineLvl w:val="1"/>
        <w:rPr>
          <w:rFonts w:ascii="宋体" w:hAnsi="宋体" w:cs="宋体"/>
          <w:b/>
          <w:bCs/>
          <w:color w:val="000000"/>
          <w:sz w:val="28"/>
          <w:szCs w:val="28"/>
        </w:rPr>
      </w:pPr>
      <w:r>
        <w:rPr>
          <w:rFonts w:hint="eastAsia" w:ascii="宋体" w:hAnsi="宋体" w:cs="宋体"/>
          <w:b/>
          <w:bCs/>
          <w:color w:val="000000"/>
          <w:sz w:val="28"/>
          <w:szCs w:val="28"/>
        </w:rPr>
        <w:t xml:space="preserve"> </w:t>
      </w:r>
      <w:bookmarkStart w:id="27" w:name="_Toc32467"/>
      <w:bookmarkStart w:id="28" w:name="_Toc31814"/>
      <w:r>
        <w:rPr>
          <w:rFonts w:hint="eastAsia" w:ascii="宋体" w:hAnsi="宋体" w:cs="宋体"/>
          <w:b/>
          <w:bCs/>
          <w:color w:val="000000"/>
          <w:sz w:val="28"/>
          <w:szCs w:val="28"/>
        </w:rPr>
        <w:t>1.课程体系建设基本情况</w:t>
      </w:r>
      <w:bookmarkEnd w:id="27"/>
      <w:bookmarkEnd w:id="28"/>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本专业学位硕士研究生课程分为必修课、选修课和社会实践三个模块。其中，公共学位课突出思想政治教育、专业英语实践能力和奠定学生经济学理论基础。专业学位课在掌握税收基础理论的基础上训练学生涉税实务技能。选修课分为公共选修课和专业选修课。专业学位课和选修课的设置注重对学生税务筹划、跨境税源管理、分析解决税收争端等的理论素养和实际工作能力培养。税务硕士专业学位要求研究生参与教学实践时间不少于3个月，本培养方案通过课堂实践和专业实习保证这一要求的实现。</w:t>
      </w:r>
    </w:p>
    <w:p>
      <w:pPr>
        <w:pStyle w:val="17"/>
        <w:spacing w:line="360" w:lineRule="auto"/>
        <w:ind w:left="110" w:firstLine="450"/>
        <w:rPr>
          <w:b/>
          <w:bCs/>
          <w:color w:val="000000"/>
          <w:kern w:val="0"/>
          <w:sz w:val="28"/>
          <w:szCs w:val="28"/>
          <w:lang w:val="en-US" w:bidi="ar-SA"/>
        </w:rPr>
      </w:pPr>
      <w:r>
        <w:rPr>
          <w:rFonts w:hint="eastAsia"/>
          <w:b/>
          <w:bCs/>
          <w:color w:val="000000"/>
          <w:kern w:val="0"/>
          <w:sz w:val="28"/>
          <w:szCs w:val="28"/>
          <w:lang w:val="en-US" w:bidi="ar-SA"/>
        </w:rPr>
        <w:t>2.实施情况</w:t>
      </w:r>
    </w:p>
    <w:p>
      <w:pPr>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突出课程思政，构建课程特色育人体系。以《税收理论与政策》《中国税制专题》《税务管理》《国际税收》4门课程育人项目为抓手推进本学位点专业课程思政示范点建设，逐步构建涵盖所有课程的课程思政体系。实现思想政治教育与知识教育相统一，价值引领、知识教育和能力培养有机统一，构建课程特色育人体系。</w:t>
      </w:r>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w:t>
      </w:r>
      <w:r>
        <w:rPr>
          <w:rFonts w:hint="eastAsia" w:ascii="宋体" w:hAnsi="宋体" w:cs="宋体"/>
          <w:color w:val="000000"/>
          <w:sz w:val="28"/>
          <w:szCs w:val="28"/>
        </w:rPr>
        <w:t>）将应用能力和职业能力培养融入课程体系。一是课堂实践教学。课堂教学中要求专业学位课和选修课要有不低于 50%的时间用于实践教学课时。二是社会实践。组织学生在实习基地进行不少于3个月的专业岗位实习。</w:t>
      </w:r>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w:t>
      </w:r>
      <w:r>
        <w:rPr>
          <w:rFonts w:hint="eastAsia" w:ascii="宋体" w:hAnsi="宋体" w:cs="宋体"/>
          <w:color w:val="000000"/>
          <w:sz w:val="28"/>
          <w:szCs w:val="28"/>
        </w:rPr>
        <w:t>）引入校外资源参与课堂教学。《国际税收专题》、《税务筹划专题》、《税务管理专题》等多门课程由校外导师参与授课，2021年度校外导师参与授课的课时总数为</w:t>
      </w:r>
      <w:r>
        <w:rPr>
          <w:rFonts w:hint="eastAsia" w:ascii="宋体" w:hAnsi="宋体" w:cs="宋体"/>
          <w:color w:val="000000"/>
          <w:sz w:val="28"/>
          <w:szCs w:val="28"/>
          <w:lang w:val="en-US" w:eastAsia="zh-CN"/>
        </w:rPr>
        <w:t>36</w:t>
      </w:r>
      <w:r>
        <w:rPr>
          <w:rFonts w:hint="eastAsia" w:ascii="宋体" w:hAnsi="宋体" w:cs="宋体"/>
          <w:color w:val="000000"/>
          <w:sz w:val="28"/>
          <w:szCs w:val="28"/>
        </w:rPr>
        <w:t>课时。</w:t>
      </w:r>
    </w:p>
    <w:tbl>
      <w:tblPr>
        <w:tblStyle w:val="13"/>
        <w:tblW w:w="80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361"/>
        <w:gridCol w:w="750"/>
        <w:gridCol w:w="2110"/>
        <w:gridCol w:w="900"/>
        <w:gridCol w:w="690"/>
        <w:gridCol w:w="1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540" w:type="dxa"/>
            <w:vMerge w:val="restart"/>
            <w:vAlign w:val="center"/>
          </w:tcPr>
          <w:p>
            <w:pPr>
              <w:pStyle w:val="17"/>
              <w:jc w:val="center"/>
              <w:rPr>
                <w:szCs w:val="21"/>
              </w:rPr>
            </w:pPr>
          </w:p>
          <w:p>
            <w:pPr>
              <w:pStyle w:val="17"/>
              <w:jc w:val="center"/>
              <w:rPr>
                <w:szCs w:val="21"/>
              </w:rPr>
            </w:pPr>
            <w:r>
              <w:rPr>
                <w:rFonts w:hint="eastAsia"/>
                <w:szCs w:val="21"/>
              </w:rPr>
              <w:t>序号</w:t>
            </w:r>
          </w:p>
        </w:tc>
        <w:tc>
          <w:tcPr>
            <w:tcW w:w="1361" w:type="dxa"/>
            <w:vMerge w:val="restart"/>
            <w:vAlign w:val="center"/>
          </w:tcPr>
          <w:p>
            <w:pPr>
              <w:pStyle w:val="17"/>
              <w:jc w:val="center"/>
              <w:rPr>
                <w:szCs w:val="21"/>
              </w:rPr>
            </w:pPr>
            <w:r>
              <w:rPr>
                <w:rFonts w:hint="eastAsia"/>
                <w:szCs w:val="21"/>
              </w:rPr>
              <w:t>课程名称</w:t>
            </w:r>
          </w:p>
        </w:tc>
        <w:tc>
          <w:tcPr>
            <w:tcW w:w="2860" w:type="dxa"/>
            <w:gridSpan w:val="2"/>
            <w:vAlign w:val="center"/>
          </w:tcPr>
          <w:p>
            <w:pPr>
              <w:pStyle w:val="17"/>
              <w:jc w:val="center"/>
              <w:rPr>
                <w:szCs w:val="21"/>
              </w:rPr>
            </w:pPr>
            <w:r>
              <w:rPr>
                <w:rFonts w:hint="eastAsia"/>
                <w:szCs w:val="21"/>
              </w:rPr>
              <w:t>主讲人</w:t>
            </w:r>
          </w:p>
        </w:tc>
        <w:tc>
          <w:tcPr>
            <w:tcW w:w="900" w:type="dxa"/>
            <w:vMerge w:val="restart"/>
            <w:vAlign w:val="center"/>
          </w:tcPr>
          <w:p>
            <w:pPr>
              <w:pStyle w:val="17"/>
              <w:jc w:val="center"/>
              <w:rPr>
                <w:szCs w:val="21"/>
              </w:rPr>
            </w:pPr>
            <w:r>
              <w:rPr>
                <w:rFonts w:hint="eastAsia"/>
                <w:szCs w:val="21"/>
                <w:lang w:val="en-US"/>
              </w:rPr>
              <w:t>授课</w:t>
            </w:r>
            <w:r>
              <w:rPr>
                <w:rFonts w:hint="eastAsia"/>
                <w:szCs w:val="21"/>
              </w:rPr>
              <w:t>时间</w:t>
            </w:r>
          </w:p>
        </w:tc>
        <w:tc>
          <w:tcPr>
            <w:tcW w:w="690" w:type="dxa"/>
            <w:vMerge w:val="restart"/>
            <w:vAlign w:val="center"/>
          </w:tcPr>
          <w:p>
            <w:pPr>
              <w:pStyle w:val="17"/>
              <w:jc w:val="center"/>
              <w:rPr>
                <w:szCs w:val="21"/>
              </w:rPr>
            </w:pPr>
            <w:r>
              <w:rPr>
                <w:rFonts w:hint="eastAsia"/>
                <w:szCs w:val="21"/>
              </w:rPr>
              <w:t>授课学时</w:t>
            </w:r>
          </w:p>
        </w:tc>
        <w:tc>
          <w:tcPr>
            <w:tcW w:w="1715" w:type="dxa"/>
            <w:vMerge w:val="restart"/>
            <w:vAlign w:val="center"/>
          </w:tcPr>
          <w:p>
            <w:pPr>
              <w:pStyle w:val="17"/>
              <w:jc w:val="center"/>
              <w:rPr>
                <w:szCs w:val="21"/>
              </w:rPr>
            </w:pPr>
            <w:r>
              <w:rPr>
                <w:rFonts w:hint="eastAsia"/>
                <w:szCs w:val="21"/>
              </w:rPr>
              <w:t>授课对象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540" w:type="dxa"/>
            <w:vMerge w:val="continue"/>
            <w:tcBorders>
              <w:top w:val="nil"/>
            </w:tcBorders>
            <w:vAlign w:val="center"/>
          </w:tcPr>
          <w:p>
            <w:pPr>
              <w:pStyle w:val="17"/>
              <w:jc w:val="center"/>
              <w:rPr>
                <w:szCs w:val="21"/>
              </w:rPr>
            </w:pPr>
          </w:p>
        </w:tc>
        <w:tc>
          <w:tcPr>
            <w:tcW w:w="1361" w:type="dxa"/>
            <w:vMerge w:val="continue"/>
            <w:tcBorders>
              <w:top w:val="nil"/>
            </w:tcBorders>
            <w:vAlign w:val="center"/>
          </w:tcPr>
          <w:p>
            <w:pPr>
              <w:pStyle w:val="17"/>
              <w:jc w:val="center"/>
              <w:rPr>
                <w:szCs w:val="21"/>
              </w:rPr>
            </w:pPr>
          </w:p>
        </w:tc>
        <w:tc>
          <w:tcPr>
            <w:tcW w:w="750" w:type="dxa"/>
            <w:vAlign w:val="center"/>
          </w:tcPr>
          <w:p>
            <w:pPr>
              <w:pStyle w:val="17"/>
              <w:jc w:val="center"/>
              <w:rPr>
                <w:szCs w:val="21"/>
              </w:rPr>
            </w:pPr>
            <w:r>
              <w:rPr>
                <w:rFonts w:hint="eastAsia"/>
                <w:szCs w:val="21"/>
              </w:rPr>
              <w:t>姓名</w:t>
            </w:r>
          </w:p>
        </w:tc>
        <w:tc>
          <w:tcPr>
            <w:tcW w:w="2110" w:type="dxa"/>
            <w:vAlign w:val="center"/>
          </w:tcPr>
          <w:p>
            <w:pPr>
              <w:pStyle w:val="17"/>
              <w:jc w:val="center"/>
              <w:rPr>
                <w:szCs w:val="21"/>
              </w:rPr>
            </w:pPr>
            <w:r>
              <w:rPr>
                <w:rFonts w:hint="eastAsia"/>
                <w:szCs w:val="21"/>
              </w:rPr>
              <w:t>工作单位</w:t>
            </w:r>
          </w:p>
        </w:tc>
        <w:tc>
          <w:tcPr>
            <w:tcW w:w="900" w:type="dxa"/>
            <w:vMerge w:val="continue"/>
            <w:tcBorders>
              <w:top w:val="nil"/>
            </w:tcBorders>
            <w:vAlign w:val="center"/>
          </w:tcPr>
          <w:p>
            <w:pPr>
              <w:pStyle w:val="17"/>
              <w:jc w:val="center"/>
              <w:rPr>
                <w:szCs w:val="21"/>
              </w:rPr>
            </w:pPr>
          </w:p>
        </w:tc>
        <w:tc>
          <w:tcPr>
            <w:tcW w:w="690" w:type="dxa"/>
            <w:vMerge w:val="continue"/>
            <w:tcBorders>
              <w:top w:val="nil"/>
            </w:tcBorders>
            <w:vAlign w:val="center"/>
          </w:tcPr>
          <w:p>
            <w:pPr>
              <w:pStyle w:val="17"/>
              <w:jc w:val="center"/>
              <w:rPr>
                <w:szCs w:val="21"/>
              </w:rPr>
            </w:pPr>
          </w:p>
        </w:tc>
        <w:tc>
          <w:tcPr>
            <w:tcW w:w="1715" w:type="dxa"/>
            <w:vMerge w:val="continue"/>
            <w:tcBorders>
              <w:top w:val="nil"/>
            </w:tcBorders>
            <w:vAlign w:val="center"/>
          </w:tcPr>
          <w:p>
            <w:pPr>
              <w:pStyle w:val="17"/>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40" w:type="dxa"/>
            <w:vAlign w:val="center"/>
          </w:tcPr>
          <w:p>
            <w:pPr>
              <w:pStyle w:val="17"/>
              <w:jc w:val="center"/>
              <w:rPr>
                <w:szCs w:val="21"/>
              </w:rPr>
            </w:pPr>
            <w:r>
              <w:rPr>
                <w:rFonts w:hint="eastAsia"/>
                <w:szCs w:val="21"/>
              </w:rPr>
              <w:t>1</w:t>
            </w:r>
          </w:p>
        </w:tc>
        <w:tc>
          <w:tcPr>
            <w:tcW w:w="1361" w:type="dxa"/>
            <w:vAlign w:val="center"/>
          </w:tcPr>
          <w:p>
            <w:pPr>
              <w:pStyle w:val="17"/>
              <w:jc w:val="center"/>
              <w:rPr>
                <w:szCs w:val="21"/>
              </w:rPr>
            </w:pPr>
            <w:r>
              <w:rPr>
                <w:rFonts w:hint="eastAsia"/>
                <w:szCs w:val="21"/>
              </w:rPr>
              <w:t>税务管理专题</w:t>
            </w:r>
          </w:p>
        </w:tc>
        <w:tc>
          <w:tcPr>
            <w:tcW w:w="750" w:type="dxa"/>
            <w:vAlign w:val="center"/>
          </w:tcPr>
          <w:p>
            <w:pPr>
              <w:pStyle w:val="17"/>
              <w:jc w:val="center"/>
              <w:rPr>
                <w:szCs w:val="21"/>
              </w:rPr>
            </w:pPr>
            <w:r>
              <w:rPr>
                <w:rFonts w:hint="eastAsia"/>
                <w:szCs w:val="21"/>
                <w:lang w:val="en-US"/>
              </w:rPr>
              <w:t>孙海虹</w:t>
            </w:r>
          </w:p>
        </w:tc>
        <w:tc>
          <w:tcPr>
            <w:tcW w:w="2110" w:type="dxa"/>
            <w:vAlign w:val="center"/>
          </w:tcPr>
          <w:p>
            <w:pPr>
              <w:pStyle w:val="17"/>
              <w:jc w:val="center"/>
              <w:rPr>
                <w:szCs w:val="21"/>
              </w:rPr>
            </w:pPr>
            <w:r>
              <w:rPr>
                <w:rFonts w:hint="eastAsia"/>
                <w:szCs w:val="21"/>
                <w:lang w:val="en-US"/>
              </w:rPr>
              <w:t>国家税务总局新疆维吾尔自治区税务局</w:t>
            </w:r>
          </w:p>
        </w:tc>
        <w:tc>
          <w:tcPr>
            <w:tcW w:w="900" w:type="dxa"/>
            <w:vAlign w:val="center"/>
          </w:tcPr>
          <w:p>
            <w:pPr>
              <w:pStyle w:val="17"/>
              <w:jc w:val="center"/>
              <w:rPr>
                <w:szCs w:val="21"/>
                <w:lang w:val="en-US"/>
              </w:rPr>
            </w:pPr>
            <w:r>
              <w:rPr>
                <w:rFonts w:hint="eastAsia"/>
                <w:szCs w:val="21"/>
                <w:lang w:val="en-US"/>
              </w:rPr>
              <w:t>202110</w:t>
            </w:r>
          </w:p>
        </w:tc>
        <w:tc>
          <w:tcPr>
            <w:tcW w:w="690" w:type="dxa"/>
            <w:vAlign w:val="center"/>
          </w:tcPr>
          <w:p>
            <w:pPr>
              <w:pStyle w:val="17"/>
              <w:jc w:val="center"/>
              <w:rPr>
                <w:szCs w:val="21"/>
              </w:rPr>
            </w:pPr>
            <w:r>
              <w:rPr>
                <w:rFonts w:hint="eastAsia"/>
                <w:szCs w:val="21"/>
                <w:lang w:val="en-US"/>
              </w:rPr>
              <w:t>4</w:t>
            </w:r>
          </w:p>
        </w:tc>
        <w:tc>
          <w:tcPr>
            <w:tcW w:w="1715" w:type="dxa"/>
            <w:vAlign w:val="center"/>
          </w:tcPr>
          <w:p>
            <w:pPr>
              <w:pStyle w:val="17"/>
              <w:jc w:val="center"/>
              <w:rPr>
                <w:szCs w:val="21"/>
              </w:rPr>
            </w:pPr>
            <w:r>
              <w:rPr>
                <w:rFonts w:hint="eastAsia"/>
                <w:szCs w:val="21"/>
                <w:lang w:val="en-US"/>
              </w:rPr>
              <w:t>2021级税务专业学位学生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40" w:type="dxa"/>
            <w:vAlign w:val="center"/>
          </w:tcPr>
          <w:p>
            <w:pPr>
              <w:pStyle w:val="17"/>
              <w:jc w:val="center"/>
              <w:rPr>
                <w:szCs w:val="21"/>
                <w:lang w:val="en-US"/>
              </w:rPr>
            </w:pPr>
            <w:r>
              <w:rPr>
                <w:rFonts w:hint="eastAsia"/>
                <w:szCs w:val="21"/>
                <w:lang w:val="en-US"/>
              </w:rPr>
              <w:t>2</w:t>
            </w:r>
          </w:p>
        </w:tc>
        <w:tc>
          <w:tcPr>
            <w:tcW w:w="1361" w:type="dxa"/>
            <w:vAlign w:val="center"/>
          </w:tcPr>
          <w:p>
            <w:pPr>
              <w:pStyle w:val="17"/>
              <w:jc w:val="center"/>
              <w:rPr>
                <w:szCs w:val="21"/>
              </w:rPr>
            </w:pPr>
            <w:r>
              <w:rPr>
                <w:rFonts w:hint="eastAsia"/>
                <w:szCs w:val="21"/>
              </w:rPr>
              <w:t>纳税评估专题</w:t>
            </w:r>
          </w:p>
        </w:tc>
        <w:tc>
          <w:tcPr>
            <w:tcW w:w="750" w:type="dxa"/>
            <w:vAlign w:val="center"/>
          </w:tcPr>
          <w:p>
            <w:pPr>
              <w:pStyle w:val="17"/>
              <w:jc w:val="center"/>
              <w:rPr>
                <w:szCs w:val="21"/>
              </w:rPr>
            </w:pPr>
            <w:r>
              <w:rPr>
                <w:rFonts w:hint="eastAsia"/>
                <w:szCs w:val="21"/>
              </w:rPr>
              <w:t>彭琳欢</w:t>
            </w:r>
          </w:p>
        </w:tc>
        <w:tc>
          <w:tcPr>
            <w:tcW w:w="2110" w:type="dxa"/>
            <w:vAlign w:val="center"/>
          </w:tcPr>
          <w:p>
            <w:pPr>
              <w:pStyle w:val="17"/>
              <w:jc w:val="center"/>
              <w:rPr>
                <w:szCs w:val="21"/>
                <w:lang w:val="en-US"/>
              </w:rPr>
            </w:pPr>
            <w:r>
              <w:rPr>
                <w:rFonts w:hint="eastAsia"/>
                <w:szCs w:val="21"/>
                <w:lang w:val="en-US"/>
              </w:rPr>
              <w:t>国家税务总局新疆维吾尔自治区税务局</w:t>
            </w:r>
          </w:p>
        </w:tc>
        <w:tc>
          <w:tcPr>
            <w:tcW w:w="900" w:type="dxa"/>
            <w:vAlign w:val="center"/>
          </w:tcPr>
          <w:p>
            <w:pPr>
              <w:pStyle w:val="17"/>
              <w:jc w:val="center"/>
              <w:rPr>
                <w:szCs w:val="21"/>
                <w:lang w:val="en-US"/>
              </w:rPr>
            </w:pPr>
            <w:r>
              <w:rPr>
                <w:rFonts w:hint="eastAsia"/>
                <w:szCs w:val="21"/>
                <w:lang w:val="en-US"/>
              </w:rPr>
              <w:t>202103</w:t>
            </w:r>
          </w:p>
        </w:tc>
        <w:tc>
          <w:tcPr>
            <w:tcW w:w="690" w:type="dxa"/>
            <w:vAlign w:val="center"/>
          </w:tcPr>
          <w:p>
            <w:pPr>
              <w:pStyle w:val="17"/>
              <w:jc w:val="center"/>
              <w:rPr>
                <w:szCs w:val="21"/>
                <w:lang w:val="en-US"/>
              </w:rPr>
            </w:pPr>
            <w:r>
              <w:rPr>
                <w:rFonts w:hint="eastAsia"/>
                <w:szCs w:val="21"/>
                <w:lang w:val="en-US"/>
              </w:rPr>
              <w:t>4</w:t>
            </w:r>
          </w:p>
        </w:tc>
        <w:tc>
          <w:tcPr>
            <w:tcW w:w="1715" w:type="dxa"/>
            <w:vAlign w:val="center"/>
          </w:tcPr>
          <w:p>
            <w:pPr>
              <w:pStyle w:val="17"/>
              <w:jc w:val="center"/>
              <w:rPr>
                <w:szCs w:val="21"/>
                <w:lang w:val="en-US"/>
              </w:rPr>
            </w:pPr>
            <w:r>
              <w:rPr>
                <w:rFonts w:hint="eastAsia"/>
                <w:szCs w:val="21"/>
                <w:lang w:val="en-US"/>
              </w:rPr>
              <w:t>2020级税务专业学位学生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40" w:type="dxa"/>
            <w:vAlign w:val="center"/>
          </w:tcPr>
          <w:p>
            <w:pPr>
              <w:pStyle w:val="17"/>
              <w:jc w:val="center"/>
              <w:rPr>
                <w:szCs w:val="21"/>
                <w:lang w:val="en-US"/>
              </w:rPr>
            </w:pPr>
            <w:r>
              <w:rPr>
                <w:rFonts w:hint="eastAsia"/>
                <w:szCs w:val="21"/>
                <w:lang w:val="en-US"/>
              </w:rPr>
              <w:t>3</w:t>
            </w:r>
          </w:p>
        </w:tc>
        <w:tc>
          <w:tcPr>
            <w:tcW w:w="1361" w:type="dxa"/>
            <w:vAlign w:val="center"/>
          </w:tcPr>
          <w:p>
            <w:pPr>
              <w:pStyle w:val="17"/>
              <w:jc w:val="center"/>
              <w:rPr>
                <w:szCs w:val="21"/>
              </w:rPr>
            </w:pPr>
            <w:r>
              <w:rPr>
                <w:rFonts w:hint="eastAsia"/>
                <w:szCs w:val="21"/>
              </w:rPr>
              <w:t>税务筹划专题</w:t>
            </w:r>
          </w:p>
        </w:tc>
        <w:tc>
          <w:tcPr>
            <w:tcW w:w="750" w:type="dxa"/>
            <w:vAlign w:val="center"/>
          </w:tcPr>
          <w:p>
            <w:pPr>
              <w:pStyle w:val="17"/>
              <w:jc w:val="center"/>
              <w:rPr>
                <w:szCs w:val="21"/>
              </w:rPr>
            </w:pPr>
            <w:r>
              <w:rPr>
                <w:rFonts w:hint="eastAsia"/>
                <w:szCs w:val="21"/>
              </w:rPr>
              <w:t>闵俊</w:t>
            </w:r>
          </w:p>
        </w:tc>
        <w:tc>
          <w:tcPr>
            <w:tcW w:w="2110" w:type="dxa"/>
            <w:vAlign w:val="center"/>
          </w:tcPr>
          <w:p>
            <w:pPr>
              <w:pStyle w:val="17"/>
              <w:jc w:val="center"/>
              <w:rPr>
                <w:szCs w:val="21"/>
                <w:lang w:val="en-US"/>
              </w:rPr>
            </w:pPr>
            <w:r>
              <w:rPr>
                <w:rFonts w:hint="eastAsia"/>
                <w:szCs w:val="21"/>
                <w:lang w:val="en-US"/>
              </w:rPr>
              <w:t>尤尼泰税务师事务所</w:t>
            </w:r>
          </w:p>
        </w:tc>
        <w:tc>
          <w:tcPr>
            <w:tcW w:w="900" w:type="dxa"/>
            <w:vAlign w:val="center"/>
          </w:tcPr>
          <w:p>
            <w:pPr>
              <w:pStyle w:val="17"/>
              <w:jc w:val="center"/>
              <w:rPr>
                <w:szCs w:val="21"/>
                <w:lang w:val="en-US"/>
              </w:rPr>
            </w:pPr>
            <w:r>
              <w:rPr>
                <w:rFonts w:hint="eastAsia"/>
                <w:szCs w:val="21"/>
                <w:lang w:val="en-US"/>
              </w:rPr>
              <w:t>202104-202105</w:t>
            </w:r>
          </w:p>
        </w:tc>
        <w:tc>
          <w:tcPr>
            <w:tcW w:w="690" w:type="dxa"/>
            <w:vAlign w:val="center"/>
          </w:tcPr>
          <w:p>
            <w:pPr>
              <w:pStyle w:val="17"/>
              <w:jc w:val="center"/>
              <w:rPr>
                <w:szCs w:val="21"/>
                <w:lang w:val="en-US"/>
              </w:rPr>
            </w:pPr>
            <w:r>
              <w:rPr>
                <w:rFonts w:hint="eastAsia"/>
                <w:szCs w:val="21"/>
                <w:lang w:val="en-US"/>
              </w:rPr>
              <w:t>8</w:t>
            </w:r>
          </w:p>
        </w:tc>
        <w:tc>
          <w:tcPr>
            <w:tcW w:w="1715" w:type="dxa"/>
            <w:vAlign w:val="center"/>
          </w:tcPr>
          <w:p>
            <w:pPr>
              <w:pStyle w:val="17"/>
              <w:jc w:val="center"/>
              <w:rPr>
                <w:szCs w:val="21"/>
                <w:lang w:val="en-US"/>
              </w:rPr>
            </w:pPr>
            <w:r>
              <w:rPr>
                <w:rFonts w:hint="eastAsia"/>
                <w:szCs w:val="21"/>
                <w:lang w:val="en-US"/>
              </w:rPr>
              <w:t>2020级税务专业学位学生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40" w:type="dxa"/>
            <w:vAlign w:val="center"/>
          </w:tcPr>
          <w:p>
            <w:pPr>
              <w:pStyle w:val="17"/>
              <w:jc w:val="center"/>
              <w:rPr>
                <w:szCs w:val="21"/>
                <w:lang w:val="en-US"/>
              </w:rPr>
            </w:pPr>
            <w:r>
              <w:rPr>
                <w:rFonts w:hint="eastAsia"/>
                <w:szCs w:val="21"/>
                <w:lang w:val="en-US"/>
              </w:rPr>
              <w:t>4</w:t>
            </w:r>
          </w:p>
        </w:tc>
        <w:tc>
          <w:tcPr>
            <w:tcW w:w="1361" w:type="dxa"/>
            <w:vAlign w:val="center"/>
          </w:tcPr>
          <w:p>
            <w:pPr>
              <w:pStyle w:val="17"/>
              <w:jc w:val="center"/>
              <w:rPr>
                <w:szCs w:val="21"/>
              </w:rPr>
            </w:pPr>
            <w:r>
              <w:rPr>
                <w:rFonts w:hint="eastAsia"/>
                <w:szCs w:val="21"/>
              </w:rPr>
              <w:t>国际税收专题</w:t>
            </w:r>
          </w:p>
        </w:tc>
        <w:tc>
          <w:tcPr>
            <w:tcW w:w="750" w:type="dxa"/>
            <w:vAlign w:val="center"/>
          </w:tcPr>
          <w:p>
            <w:pPr>
              <w:pStyle w:val="17"/>
              <w:jc w:val="center"/>
              <w:rPr>
                <w:szCs w:val="21"/>
              </w:rPr>
            </w:pPr>
            <w:r>
              <w:rPr>
                <w:rFonts w:hint="eastAsia"/>
                <w:szCs w:val="21"/>
              </w:rPr>
              <w:t>梁红星</w:t>
            </w:r>
          </w:p>
        </w:tc>
        <w:tc>
          <w:tcPr>
            <w:tcW w:w="2110" w:type="dxa"/>
            <w:vAlign w:val="center"/>
          </w:tcPr>
          <w:p>
            <w:pPr>
              <w:pStyle w:val="17"/>
              <w:jc w:val="center"/>
              <w:rPr>
                <w:szCs w:val="21"/>
                <w:lang w:val="en-US"/>
              </w:rPr>
            </w:pPr>
            <w:r>
              <w:rPr>
                <w:rFonts w:hint="eastAsia"/>
                <w:szCs w:val="21"/>
              </w:rPr>
              <w:t>北京税海之星税务咨询有限责任公司</w:t>
            </w:r>
          </w:p>
        </w:tc>
        <w:tc>
          <w:tcPr>
            <w:tcW w:w="900" w:type="dxa"/>
            <w:vAlign w:val="center"/>
          </w:tcPr>
          <w:p>
            <w:pPr>
              <w:pStyle w:val="17"/>
              <w:jc w:val="center"/>
              <w:rPr>
                <w:rFonts w:hint="default" w:eastAsia="宋体"/>
                <w:szCs w:val="21"/>
                <w:lang w:val="en-US" w:eastAsia="zh-CN"/>
              </w:rPr>
            </w:pPr>
            <w:r>
              <w:rPr>
                <w:rFonts w:hint="eastAsia"/>
                <w:szCs w:val="21"/>
                <w:lang w:val="en-US"/>
              </w:rPr>
              <w:t>202105</w:t>
            </w:r>
            <w:r>
              <w:rPr>
                <w:rFonts w:hint="eastAsia"/>
                <w:szCs w:val="21"/>
                <w:lang w:val="en-US" w:eastAsia="zh-CN"/>
              </w:rPr>
              <w:t>-202111</w:t>
            </w:r>
          </w:p>
        </w:tc>
        <w:tc>
          <w:tcPr>
            <w:tcW w:w="690" w:type="dxa"/>
            <w:vAlign w:val="center"/>
          </w:tcPr>
          <w:p>
            <w:pPr>
              <w:pStyle w:val="17"/>
              <w:jc w:val="center"/>
              <w:rPr>
                <w:rFonts w:hint="default" w:eastAsia="宋体"/>
                <w:szCs w:val="21"/>
                <w:lang w:val="en-US" w:eastAsia="zh-CN"/>
              </w:rPr>
            </w:pPr>
            <w:r>
              <w:rPr>
                <w:rFonts w:hint="eastAsia"/>
                <w:szCs w:val="21"/>
                <w:lang w:val="en-US" w:eastAsia="zh-CN"/>
              </w:rPr>
              <w:t>12</w:t>
            </w:r>
          </w:p>
        </w:tc>
        <w:tc>
          <w:tcPr>
            <w:tcW w:w="1715" w:type="dxa"/>
            <w:vAlign w:val="center"/>
          </w:tcPr>
          <w:p>
            <w:pPr>
              <w:pStyle w:val="17"/>
              <w:jc w:val="center"/>
              <w:rPr>
                <w:szCs w:val="21"/>
                <w:lang w:val="en-US"/>
              </w:rPr>
            </w:pPr>
            <w:r>
              <w:rPr>
                <w:rFonts w:hint="eastAsia"/>
                <w:szCs w:val="21"/>
                <w:lang w:val="en-US"/>
              </w:rPr>
              <w:t>2020级税务专业学位学生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40" w:type="dxa"/>
            <w:vAlign w:val="center"/>
          </w:tcPr>
          <w:p>
            <w:pPr>
              <w:pStyle w:val="17"/>
              <w:jc w:val="center"/>
              <w:rPr>
                <w:szCs w:val="21"/>
                <w:lang w:val="en-US"/>
              </w:rPr>
            </w:pPr>
            <w:r>
              <w:rPr>
                <w:rFonts w:hint="eastAsia"/>
                <w:szCs w:val="21"/>
                <w:lang w:val="en-US"/>
              </w:rPr>
              <w:t>5</w:t>
            </w:r>
          </w:p>
        </w:tc>
        <w:tc>
          <w:tcPr>
            <w:tcW w:w="1361" w:type="dxa"/>
            <w:vAlign w:val="center"/>
          </w:tcPr>
          <w:p>
            <w:pPr>
              <w:pStyle w:val="17"/>
              <w:jc w:val="center"/>
              <w:rPr>
                <w:szCs w:val="21"/>
              </w:rPr>
            </w:pPr>
            <w:r>
              <w:rPr>
                <w:rFonts w:hint="eastAsia"/>
                <w:szCs w:val="21"/>
              </w:rPr>
              <w:t>税收理论与政策</w:t>
            </w:r>
          </w:p>
        </w:tc>
        <w:tc>
          <w:tcPr>
            <w:tcW w:w="750" w:type="dxa"/>
            <w:vAlign w:val="center"/>
          </w:tcPr>
          <w:p>
            <w:pPr>
              <w:pStyle w:val="17"/>
              <w:jc w:val="center"/>
              <w:rPr>
                <w:szCs w:val="21"/>
              </w:rPr>
            </w:pPr>
            <w:r>
              <w:rPr>
                <w:rFonts w:hint="eastAsia"/>
                <w:szCs w:val="21"/>
              </w:rPr>
              <w:t>曹佩浩</w:t>
            </w:r>
          </w:p>
        </w:tc>
        <w:tc>
          <w:tcPr>
            <w:tcW w:w="2110" w:type="dxa"/>
            <w:vAlign w:val="center"/>
          </w:tcPr>
          <w:p>
            <w:pPr>
              <w:pStyle w:val="17"/>
              <w:jc w:val="center"/>
              <w:rPr>
                <w:szCs w:val="21"/>
                <w:lang w:val="en-US"/>
              </w:rPr>
            </w:pPr>
            <w:r>
              <w:rPr>
                <w:rFonts w:hint="eastAsia"/>
                <w:szCs w:val="21"/>
                <w:lang w:val="en-US"/>
              </w:rPr>
              <w:t>国家税务总局新疆维吾尔自治区税务局</w:t>
            </w:r>
          </w:p>
        </w:tc>
        <w:tc>
          <w:tcPr>
            <w:tcW w:w="900" w:type="dxa"/>
            <w:vAlign w:val="center"/>
          </w:tcPr>
          <w:p>
            <w:pPr>
              <w:pStyle w:val="17"/>
              <w:jc w:val="center"/>
              <w:rPr>
                <w:szCs w:val="21"/>
                <w:lang w:val="en-US"/>
              </w:rPr>
            </w:pPr>
            <w:r>
              <w:rPr>
                <w:rFonts w:hint="eastAsia"/>
                <w:szCs w:val="21"/>
                <w:lang w:val="en-US"/>
              </w:rPr>
              <w:t>202105</w:t>
            </w:r>
          </w:p>
        </w:tc>
        <w:tc>
          <w:tcPr>
            <w:tcW w:w="690" w:type="dxa"/>
            <w:vAlign w:val="center"/>
          </w:tcPr>
          <w:p>
            <w:pPr>
              <w:pStyle w:val="17"/>
              <w:jc w:val="center"/>
              <w:rPr>
                <w:szCs w:val="21"/>
                <w:lang w:val="en-US"/>
              </w:rPr>
            </w:pPr>
            <w:r>
              <w:rPr>
                <w:rFonts w:hint="eastAsia"/>
                <w:szCs w:val="21"/>
                <w:lang w:val="en-US"/>
              </w:rPr>
              <w:t>4</w:t>
            </w:r>
          </w:p>
        </w:tc>
        <w:tc>
          <w:tcPr>
            <w:tcW w:w="1715" w:type="dxa"/>
            <w:vAlign w:val="center"/>
          </w:tcPr>
          <w:p>
            <w:pPr>
              <w:pStyle w:val="17"/>
              <w:jc w:val="center"/>
              <w:rPr>
                <w:szCs w:val="21"/>
                <w:lang w:val="en-US"/>
              </w:rPr>
            </w:pPr>
            <w:r>
              <w:rPr>
                <w:rFonts w:hint="eastAsia"/>
                <w:szCs w:val="21"/>
                <w:lang w:val="en-US"/>
              </w:rPr>
              <w:t>2020级税务专业学位学生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40" w:type="dxa"/>
            <w:vAlign w:val="center"/>
          </w:tcPr>
          <w:p>
            <w:pPr>
              <w:pStyle w:val="17"/>
              <w:jc w:val="center"/>
              <w:rPr>
                <w:szCs w:val="21"/>
                <w:lang w:val="en-US"/>
              </w:rPr>
            </w:pPr>
            <w:r>
              <w:rPr>
                <w:rFonts w:hint="eastAsia"/>
                <w:szCs w:val="21"/>
                <w:lang w:val="en-US"/>
              </w:rPr>
              <w:t>6</w:t>
            </w:r>
          </w:p>
        </w:tc>
        <w:tc>
          <w:tcPr>
            <w:tcW w:w="1361" w:type="dxa"/>
            <w:vAlign w:val="center"/>
          </w:tcPr>
          <w:p>
            <w:pPr>
              <w:pStyle w:val="17"/>
              <w:jc w:val="center"/>
              <w:rPr>
                <w:szCs w:val="21"/>
              </w:rPr>
            </w:pPr>
            <w:r>
              <w:rPr>
                <w:rFonts w:hint="eastAsia"/>
                <w:szCs w:val="21"/>
              </w:rPr>
              <w:t>税务管理专题</w:t>
            </w:r>
          </w:p>
        </w:tc>
        <w:tc>
          <w:tcPr>
            <w:tcW w:w="750" w:type="dxa"/>
            <w:vAlign w:val="center"/>
          </w:tcPr>
          <w:p>
            <w:pPr>
              <w:pStyle w:val="17"/>
              <w:jc w:val="center"/>
              <w:rPr>
                <w:szCs w:val="21"/>
              </w:rPr>
            </w:pPr>
            <w:r>
              <w:rPr>
                <w:rFonts w:hint="eastAsia"/>
                <w:szCs w:val="21"/>
              </w:rPr>
              <w:t>张芸</w:t>
            </w:r>
          </w:p>
        </w:tc>
        <w:tc>
          <w:tcPr>
            <w:tcW w:w="2110" w:type="dxa"/>
            <w:vAlign w:val="center"/>
          </w:tcPr>
          <w:p>
            <w:pPr>
              <w:pStyle w:val="17"/>
              <w:jc w:val="center"/>
              <w:rPr>
                <w:szCs w:val="21"/>
              </w:rPr>
            </w:pPr>
            <w:r>
              <w:rPr>
                <w:rFonts w:hint="eastAsia"/>
                <w:szCs w:val="21"/>
                <w:lang w:val="en-US"/>
              </w:rPr>
              <w:t>国家税务总局乌鲁木齐市税务局</w:t>
            </w:r>
          </w:p>
        </w:tc>
        <w:tc>
          <w:tcPr>
            <w:tcW w:w="900" w:type="dxa"/>
            <w:vAlign w:val="center"/>
          </w:tcPr>
          <w:p>
            <w:pPr>
              <w:pStyle w:val="17"/>
              <w:jc w:val="center"/>
              <w:rPr>
                <w:szCs w:val="21"/>
              </w:rPr>
            </w:pPr>
            <w:r>
              <w:rPr>
                <w:rFonts w:hint="eastAsia"/>
                <w:szCs w:val="21"/>
                <w:lang w:val="en-US"/>
              </w:rPr>
              <w:t>202111</w:t>
            </w:r>
          </w:p>
        </w:tc>
        <w:tc>
          <w:tcPr>
            <w:tcW w:w="690" w:type="dxa"/>
            <w:vAlign w:val="center"/>
          </w:tcPr>
          <w:p>
            <w:pPr>
              <w:pStyle w:val="17"/>
              <w:jc w:val="center"/>
              <w:rPr>
                <w:szCs w:val="21"/>
                <w:lang w:val="en-US"/>
              </w:rPr>
            </w:pPr>
            <w:r>
              <w:rPr>
                <w:rFonts w:hint="eastAsia"/>
                <w:szCs w:val="21"/>
                <w:lang w:val="en-US"/>
              </w:rPr>
              <w:t>4</w:t>
            </w:r>
          </w:p>
        </w:tc>
        <w:tc>
          <w:tcPr>
            <w:tcW w:w="1715" w:type="dxa"/>
            <w:vAlign w:val="center"/>
          </w:tcPr>
          <w:p>
            <w:pPr>
              <w:pStyle w:val="17"/>
              <w:jc w:val="center"/>
              <w:rPr>
                <w:szCs w:val="21"/>
                <w:lang w:val="en-US"/>
              </w:rPr>
            </w:pPr>
            <w:r>
              <w:rPr>
                <w:rFonts w:hint="eastAsia"/>
                <w:szCs w:val="21"/>
                <w:lang w:val="en-US"/>
              </w:rPr>
              <w:t>2021级税务专业学位学生</w:t>
            </w:r>
          </w:p>
        </w:tc>
      </w:tr>
    </w:tbl>
    <w:p>
      <w:pPr>
        <w:pStyle w:val="19"/>
        <w:snapToGrid w:val="0"/>
        <w:spacing w:line="360" w:lineRule="auto"/>
        <w:ind w:firstLine="560" w:firstLineChars="200"/>
        <w:rPr>
          <w:rFonts w:ascii="宋体" w:hAnsi="宋体" w:cs="宋体"/>
          <w:sz w:val="28"/>
          <w:szCs w:val="28"/>
        </w:rPr>
      </w:pPr>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4</w:t>
      </w:r>
      <w:r>
        <w:rPr>
          <w:rFonts w:hint="eastAsia" w:ascii="宋体" w:hAnsi="宋体" w:cs="宋体"/>
          <w:color w:val="000000"/>
          <w:sz w:val="28"/>
          <w:szCs w:val="28"/>
        </w:rPr>
        <w:t>）重视案例教学，做到学位课门门有案例（库）。与税务局、事务所等产学研（产教融合）基地导师合作，在2</w:t>
      </w:r>
      <w:r>
        <w:rPr>
          <w:rFonts w:ascii="宋体" w:hAnsi="宋体" w:cs="宋体"/>
          <w:color w:val="000000"/>
          <w:sz w:val="28"/>
          <w:szCs w:val="28"/>
        </w:rPr>
        <w:t>020</w:t>
      </w:r>
      <w:r>
        <w:rPr>
          <w:rFonts w:hint="eastAsia" w:ascii="宋体" w:hAnsi="宋体" w:cs="宋体"/>
          <w:color w:val="000000"/>
          <w:sz w:val="28"/>
          <w:szCs w:val="28"/>
        </w:rPr>
        <w:t>年完成《中国税制专题》《税务筹划专题》两门课程的案例库建设任务的基础上，2</w:t>
      </w:r>
      <w:r>
        <w:rPr>
          <w:rFonts w:ascii="宋体" w:hAnsi="宋体" w:cs="宋体"/>
          <w:color w:val="000000"/>
          <w:sz w:val="28"/>
          <w:szCs w:val="28"/>
        </w:rPr>
        <w:t>021</w:t>
      </w:r>
      <w:r>
        <w:rPr>
          <w:rFonts w:hint="eastAsia" w:ascii="宋体" w:hAnsi="宋体" w:cs="宋体"/>
          <w:color w:val="000000"/>
          <w:sz w:val="28"/>
          <w:szCs w:val="28"/>
        </w:rPr>
        <w:t>年完成《税务稽查》课程的案例库建设任务。《税务管理专题》《国际税收专题》等课程的案例库处于持续建设中。</w:t>
      </w:r>
    </w:p>
    <w:p>
      <w:pPr>
        <w:ind w:firstLine="562" w:firstLineChars="200"/>
        <w:jc w:val="left"/>
        <w:outlineLvl w:val="1"/>
        <w:rPr>
          <w:rFonts w:ascii="宋体" w:hAnsi="宋体" w:cs="宋体"/>
          <w:b/>
          <w:bCs/>
          <w:color w:val="000000"/>
          <w:kern w:val="0"/>
          <w:sz w:val="28"/>
          <w:szCs w:val="28"/>
        </w:rPr>
      </w:pPr>
      <w:bookmarkStart w:id="29" w:name="_Toc16615"/>
      <w:bookmarkStart w:id="30" w:name="_Toc9579"/>
      <w:r>
        <w:rPr>
          <w:rFonts w:hint="eastAsia" w:ascii="宋体" w:hAnsi="宋体" w:cs="宋体"/>
          <w:b/>
          <w:bCs/>
          <w:color w:val="000000"/>
          <w:kern w:val="0"/>
          <w:sz w:val="28"/>
          <w:szCs w:val="28"/>
        </w:rPr>
        <w:t>（二）</w:t>
      </w:r>
      <w:r>
        <w:rPr>
          <w:rFonts w:ascii="宋体" w:hAnsi="宋体" w:cs="宋体"/>
          <w:b/>
          <w:bCs/>
          <w:color w:val="000000"/>
          <w:kern w:val="0"/>
          <w:sz w:val="28"/>
          <w:szCs w:val="28"/>
        </w:rPr>
        <w:t>导师选拔培训、师德师风建设情况</w:t>
      </w:r>
      <w:bookmarkEnd w:id="29"/>
      <w:bookmarkEnd w:id="30"/>
    </w:p>
    <w:p>
      <w:pPr>
        <w:pStyle w:val="17"/>
        <w:spacing w:before="2" w:line="360" w:lineRule="auto"/>
        <w:ind w:firstLine="562" w:firstLineChars="200"/>
        <w:rPr>
          <w:color w:val="000000"/>
          <w:kern w:val="0"/>
          <w:sz w:val="28"/>
          <w:szCs w:val="28"/>
          <w:lang w:val="en-US" w:bidi="ar-SA"/>
        </w:rPr>
      </w:pPr>
      <w:r>
        <w:rPr>
          <w:rFonts w:hint="eastAsia"/>
          <w:b/>
          <w:bCs/>
          <w:color w:val="000000"/>
          <w:kern w:val="0"/>
          <w:sz w:val="28"/>
          <w:szCs w:val="28"/>
          <w:lang w:val="en-US" w:bidi="ar-SA"/>
        </w:rPr>
        <w:t>1.导师选拔</w:t>
      </w:r>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严格按照《新疆财经大学研究生导师遴选及管理办法》选聘导师。根据《新疆财经大学硕士研究生导师管理办法》明确导师职责。建立导师与学生定期交流制度。严格导师例会制度。</w:t>
      </w:r>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本学位授权点采取研究生与导师双向选择的管理制度，落实了2021级42位税务专业硕士研究生的导师和研究方向。并要求每位导师对指导的研究生制定培养方案，经本学位点授权单位审核后实施。</w:t>
      </w:r>
    </w:p>
    <w:p>
      <w:pPr>
        <w:pStyle w:val="19"/>
        <w:snapToGrid w:val="0"/>
        <w:spacing w:line="360" w:lineRule="auto"/>
        <w:ind w:firstLine="562" w:firstLineChars="200"/>
        <w:rPr>
          <w:rFonts w:ascii="宋体" w:hAnsi="宋体" w:cs="宋体"/>
          <w:b/>
          <w:bCs/>
          <w:color w:val="000000"/>
          <w:sz w:val="22"/>
        </w:rPr>
      </w:pPr>
      <w:r>
        <w:rPr>
          <w:rFonts w:hint="eastAsia" w:ascii="宋体" w:hAnsi="宋体" w:cs="宋体"/>
          <w:b/>
          <w:bCs/>
          <w:color w:val="000000"/>
          <w:sz w:val="28"/>
          <w:szCs w:val="28"/>
        </w:rPr>
        <w:t>2.</w:t>
      </w:r>
      <w:r>
        <w:rPr>
          <w:rFonts w:hint="eastAsia" w:cs="宋体"/>
          <w:b/>
          <w:bCs/>
          <w:color w:val="000000"/>
          <w:sz w:val="28"/>
          <w:szCs w:val="28"/>
        </w:rPr>
        <w:t>导师培养</w:t>
      </w:r>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选派本学位点授权单位专业课任课教师参加全国税务专业硕士教职委召开的年度税务专业硕士师资培养会、各类师资培训及相关学术活动11人次。</w:t>
      </w:r>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借助中央财经大学、中国人民大学等对口援助学校和产学研基地丰富的教学与实践资源，组织骨干教师和后备教师与上述单位采取多种形式的合作，提升教师的理论水平和实践能力。</w:t>
      </w:r>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利用自治区“天山学者”计划经费支持，先后聘请中国社科院赵志君教授、辽宁省财政科学研究所王振宇教授等作为税务专业硕士校外导师，通过组织专题讲座、研讨会、联合授课等方式培养师资。</w:t>
      </w:r>
    </w:p>
    <w:p>
      <w:pPr>
        <w:pStyle w:val="17"/>
        <w:spacing w:before="25" w:line="213" w:lineRule="auto"/>
        <w:ind w:right="319" w:firstLine="562" w:firstLineChars="200"/>
        <w:rPr>
          <w:sz w:val="18"/>
          <w:szCs w:val="20"/>
          <w:lang w:val="en-US"/>
        </w:rPr>
      </w:pPr>
      <w:r>
        <w:rPr>
          <w:rFonts w:hint="eastAsia"/>
          <w:b/>
          <w:bCs/>
          <w:color w:val="000000"/>
          <w:kern w:val="0"/>
          <w:sz w:val="28"/>
          <w:szCs w:val="28"/>
          <w:lang w:val="en-US" w:bidi="ar-SA"/>
        </w:rPr>
        <w:t>3.师德师风建设</w:t>
      </w:r>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牢固树立“为党育人，为国育才”宗旨，坚守“立德树人”根本要求，大力弘扬“胡杨精神”，扎根边疆办人民满意的教育，从制度上、组织上、行动上加强师德师风建设。制定《新疆财经大学师德失范行为处理办法》《新疆财经大学师德建设长效机制实施细则》、《新疆财经大学学术不端行为处理办法》等制度。通过制度建设，形成师德师风建设长效机制，筑牢思想底线。</w:t>
      </w:r>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成立党委教师工作部，党委全面领导负责师德师风建设，下设师德建设委员会，受理师德师风案件审议。通过组织建设，形成师德师风的有效运行机制，党政齐抓共管，推动师德师风建设良性循环。</w:t>
      </w:r>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开展“新疆财经大学教学名师”“优秀教师”“优秀研究生指导教师”“优秀教育工作者” 等评选和宣讲活动。弘扬高尚师德，发挥先进典型的榜样和示范作用，增强广大教师、教育工作者的职业荣誉感和责任感。</w:t>
      </w:r>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严把教师队伍入口关，对新进教师进行严格的思想政治和师德考察；在职称评审中，对存在师德失范行为的实施“一票否决”。在年终考核中将师德考核摆在教师考核的首要位置，对师德师风失范行为评定为不合格，并取消在教师职称评聘、推优评先、表彰奖励、科研和人才项目申请等方面的资格。畅通举报渠道，及时查处师德失范行为。</w:t>
      </w:r>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2</w:t>
      </w:r>
      <w:r>
        <w:rPr>
          <w:rFonts w:ascii="宋体" w:hAnsi="宋体" w:cs="宋体"/>
          <w:color w:val="000000"/>
          <w:sz w:val="28"/>
          <w:szCs w:val="28"/>
        </w:rPr>
        <w:t>021</w:t>
      </w:r>
      <w:r>
        <w:rPr>
          <w:rFonts w:hint="eastAsia" w:ascii="宋体" w:hAnsi="宋体" w:cs="宋体"/>
          <w:color w:val="000000"/>
          <w:sz w:val="28"/>
          <w:szCs w:val="28"/>
        </w:rPr>
        <w:t>年度，本专业学位点教师未出现任何形式的师德师风失范行为。</w:t>
      </w:r>
    </w:p>
    <w:p>
      <w:pPr>
        <w:pStyle w:val="17"/>
        <w:spacing w:before="2" w:line="360" w:lineRule="auto"/>
        <w:ind w:firstLine="562" w:firstLineChars="200"/>
        <w:outlineLvl w:val="1"/>
        <w:rPr>
          <w:rFonts w:ascii="仿宋_GB2312" w:eastAsia="仿宋_GB2312"/>
          <w:sz w:val="32"/>
          <w:szCs w:val="32"/>
          <w:lang w:val="en-US"/>
        </w:rPr>
      </w:pPr>
      <w:bookmarkStart w:id="31" w:name="_Toc21204"/>
      <w:bookmarkStart w:id="32" w:name="_Toc4395"/>
      <w:r>
        <w:rPr>
          <w:rFonts w:hint="eastAsia"/>
          <w:b/>
          <w:bCs/>
          <w:color w:val="000000"/>
          <w:kern w:val="0"/>
          <w:sz w:val="28"/>
          <w:szCs w:val="28"/>
          <w:lang w:val="en-US" w:bidi="ar-SA"/>
        </w:rPr>
        <w:t>（三）</w:t>
      </w:r>
      <w:r>
        <w:rPr>
          <w:b/>
          <w:bCs/>
          <w:color w:val="000000"/>
          <w:kern w:val="0"/>
          <w:sz w:val="28"/>
          <w:szCs w:val="28"/>
          <w:lang w:val="en-US" w:bidi="ar-SA"/>
        </w:rPr>
        <w:t>学术训练情况</w:t>
      </w:r>
      <w:r>
        <w:rPr>
          <w:rFonts w:hint="eastAsia"/>
          <w:b/>
          <w:bCs/>
          <w:color w:val="000000"/>
          <w:kern w:val="0"/>
          <w:sz w:val="28"/>
          <w:szCs w:val="28"/>
          <w:lang w:val="en-US" w:bidi="ar-SA"/>
        </w:rPr>
        <w:t>、</w:t>
      </w:r>
      <w:r>
        <w:rPr>
          <w:b/>
          <w:bCs/>
          <w:color w:val="000000"/>
          <w:kern w:val="0"/>
          <w:sz w:val="28"/>
          <w:szCs w:val="28"/>
          <w:lang w:val="en-US" w:bidi="ar-SA"/>
        </w:rPr>
        <w:t>学术交流情况</w:t>
      </w:r>
      <w:bookmarkEnd w:id="31"/>
      <w:bookmarkEnd w:id="32"/>
    </w:p>
    <w:p>
      <w:pPr>
        <w:pStyle w:val="19"/>
        <w:snapToGrid w:val="0"/>
        <w:spacing w:line="360" w:lineRule="auto"/>
        <w:ind w:firstLine="560" w:firstLineChars="200"/>
        <w:rPr>
          <w:rFonts w:ascii="宋体" w:hAnsi="宋体" w:cs="宋体"/>
          <w:color w:val="000000"/>
          <w:sz w:val="28"/>
          <w:szCs w:val="28"/>
          <w:lang w:val="zh-TW" w:eastAsia="zh-TW"/>
        </w:rPr>
      </w:pPr>
      <w:r>
        <w:rPr>
          <w:rFonts w:hint="eastAsia" w:ascii="宋体" w:hAnsi="宋体" w:cs="宋体"/>
          <w:color w:val="000000"/>
          <w:sz w:val="28"/>
          <w:szCs w:val="28"/>
          <w:lang w:val="zh-TW" w:eastAsia="zh-TW"/>
        </w:rPr>
        <w:t>本学位授权点不断规范和创新工作机制，完善研究生培养办法，加强学术规范与学术道德教育，训练提升研究生学术能力。</w:t>
      </w:r>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zh-TW" w:eastAsia="zh-TW"/>
        </w:rPr>
        <w:t>导师</w:t>
      </w:r>
      <w:r>
        <w:rPr>
          <w:rFonts w:hint="eastAsia" w:ascii="宋体" w:hAnsi="宋体" w:cs="宋体"/>
          <w:color w:val="000000"/>
          <w:sz w:val="28"/>
          <w:szCs w:val="28"/>
        </w:rPr>
        <w:t>对</w:t>
      </w:r>
      <w:r>
        <w:rPr>
          <w:rFonts w:hint="eastAsia" w:ascii="宋体" w:hAnsi="宋体" w:cs="宋体"/>
          <w:color w:val="000000"/>
          <w:sz w:val="28"/>
          <w:szCs w:val="28"/>
          <w:lang w:val="zh-TW" w:eastAsia="zh-TW"/>
        </w:rPr>
        <w:t>研究生</w:t>
      </w:r>
      <w:r>
        <w:rPr>
          <w:rFonts w:hint="eastAsia" w:ascii="宋体" w:hAnsi="宋体" w:cs="宋体"/>
          <w:color w:val="000000"/>
          <w:sz w:val="28"/>
          <w:szCs w:val="28"/>
        </w:rPr>
        <w:t>加强学术指导</w:t>
      </w:r>
      <w:r>
        <w:rPr>
          <w:rFonts w:hint="eastAsia" w:ascii="宋体" w:hAnsi="宋体" w:cs="宋体"/>
          <w:color w:val="000000"/>
          <w:sz w:val="28"/>
          <w:szCs w:val="28"/>
          <w:lang w:val="zh-TW" w:eastAsia="zh-TW"/>
        </w:rPr>
        <w:t>，</w:t>
      </w:r>
      <w:r>
        <w:rPr>
          <w:rFonts w:hint="eastAsia" w:ascii="宋体" w:hAnsi="宋体" w:cs="宋体"/>
          <w:color w:val="000000"/>
          <w:sz w:val="28"/>
          <w:szCs w:val="28"/>
        </w:rPr>
        <w:t>研究生参与课题调研，</w:t>
      </w:r>
      <w:r>
        <w:rPr>
          <w:rFonts w:hint="eastAsia" w:ascii="宋体" w:hAnsi="宋体" w:cs="宋体"/>
          <w:color w:val="000000"/>
          <w:sz w:val="28"/>
          <w:szCs w:val="28"/>
          <w:lang w:val="zh-TW" w:eastAsia="zh-TW"/>
        </w:rPr>
        <w:t>提高学生自学能力和科研能力。</w:t>
      </w:r>
      <w:r>
        <w:rPr>
          <w:rFonts w:hint="eastAsia" w:ascii="宋体" w:hAnsi="宋体" w:cs="宋体"/>
          <w:color w:val="000000"/>
          <w:sz w:val="28"/>
          <w:szCs w:val="28"/>
        </w:rPr>
        <w:t>为了鼓励学生积极开展学术研究，学校每年举办研究生学术论坛，营造了勇于探索、敢于创新的学术氛围。本专业学位授权点研究生积极参与学术论坛，共有6位同学在“第十一届新疆财经大学研究生学术论坛”中表现突出，获得表彰。</w:t>
      </w:r>
    </w:p>
    <w:p>
      <w:pPr>
        <w:pStyle w:val="19"/>
        <w:snapToGrid w:val="0"/>
        <w:spacing w:line="360" w:lineRule="auto"/>
        <w:ind w:firstLine="560" w:firstLineChars="200"/>
        <w:rPr>
          <w:rFonts w:ascii="宋体" w:hAnsi="宋体" w:cs="宋体"/>
          <w:color w:val="000000"/>
          <w:sz w:val="28"/>
          <w:szCs w:val="28"/>
          <w:lang w:val="zh-TW" w:eastAsia="zh-TW"/>
        </w:rPr>
      </w:pPr>
      <w:r>
        <w:rPr>
          <w:rFonts w:hint="eastAsia" w:ascii="宋体" w:hAnsi="宋体" w:cs="宋体"/>
          <w:color w:val="000000"/>
          <w:sz w:val="28"/>
          <w:szCs w:val="28"/>
        </w:rPr>
        <w:t>2021年，</w:t>
      </w:r>
      <w:r>
        <w:rPr>
          <w:rFonts w:hint="eastAsia" w:ascii="宋体" w:hAnsi="宋体" w:cs="宋体"/>
          <w:color w:val="000000"/>
          <w:sz w:val="28"/>
          <w:szCs w:val="28"/>
          <w:lang w:val="zh-TW" w:eastAsia="zh-TW"/>
        </w:rPr>
        <w:t>本学位授权点</w:t>
      </w:r>
      <w:r>
        <w:rPr>
          <w:rFonts w:hint="eastAsia" w:ascii="宋体" w:hAnsi="宋体" w:cs="宋体"/>
          <w:color w:val="000000"/>
          <w:sz w:val="28"/>
          <w:szCs w:val="28"/>
        </w:rPr>
        <w:t>先后邀请中国社科院杨志勇教授、上海财经大学朱为群教授、新疆税务学会会长李振宇等疆内外专家学者开展</w:t>
      </w:r>
      <w:r>
        <w:rPr>
          <w:rFonts w:hint="eastAsia" w:ascii="宋体" w:hAnsi="宋体" w:cs="宋体"/>
          <w:color w:val="000000"/>
          <w:sz w:val="28"/>
          <w:szCs w:val="28"/>
          <w:highlight w:val="none"/>
        </w:rPr>
        <w:t>了36场学术</w:t>
      </w:r>
      <w:r>
        <w:rPr>
          <w:rFonts w:hint="eastAsia" w:ascii="宋体" w:hAnsi="宋体" w:cs="宋体"/>
          <w:color w:val="000000"/>
          <w:sz w:val="28"/>
          <w:szCs w:val="28"/>
        </w:rPr>
        <w:t>交流讲座，为税务专业研究生讲解税务理论与实践经验，</w:t>
      </w:r>
      <w:r>
        <w:rPr>
          <w:rFonts w:hint="eastAsia" w:ascii="宋体" w:hAnsi="宋体" w:cs="宋体"/>
          <w:color w:val="000000"/>
          <w:sz w:val="28"/>
          <w:szCs w:val="28"/>
          <w:lang w:val="zh-TW" w:eastAsia="zh-TW"/>
        </w:rPr>
        <w:t>拓</w:t>
      </w:r>
      <w:r>
        <w:rPr>
          <w:rFonts w:hint="eastAsia" w:ascii="宋体" w:hAnsi="宋体" w:cs="宋体"/>
          <w:color w:val="000000"/>
          <w:sz w:val="28"/>
          <w:szCs w:val="28"/>
        </w:rPr>
        <w:t>宽</w:t>
      </w:r>
      <w:r>
        <w:rPr>
          <w:rFonts w:hint="eastAsia" w:ascii="宋体" w:hAnsi="宋体" w:cs="宋体"/>
          <w:color w:val="000000"/>
          <w:sz w:val="28"/>
          <w:szCs w:val="28"/>
          <w:lang w:val="zh-TW" w:eastAsia="zh-TW"/>
        </w:rPr>
        <w:t>学生</w:t>
      </w:r>
      <w:r>
        <w:rPr>
          <w:rFonts w:hint="eastAsia" w:ascii="宋体" w:hAnsi="宋体" w:cs="宋体"/>
          <w:color w:val="000000"/>
          <w:sz w:val="28"/>
          <w:szCs w:val="28"/>
        </w:rPr>
        <w:t>行业</w:t>
      </w:r>
      <w:r>
        <w:rPr>
          <w:rFonts w:hint="eastAsia" w:ascii="宋体" w:hAnsi="宋体" w:cs="宋体"/>
          <w:color w:val="000000"/>
          <w:sz w:val="28"/>
          <w:szCs w:val="28"/>
          <w:lang w:val="zh-TW" w:eastAsia="zh-TW"/>
        </w:rPr>
        <w:t>视野，拓展学科前沿知识。</w:t>
      </w:r>
    </w:p>
    <w:tbl>
      <w:tblPr>
        <w:tblStyle w:val="13"/>
        <w:tblW w:w="8263" w:type="dxa"/>
        <w:tblInd w:w="100" w:type="dxa"/>
        <w:tblLayout w:type="autofit"/>
        <w:tblCellMar>
          <w:top w:w="0" w:type="dxa"/>
          <w:left w:w="108" w:type="dxa"/>
          <w:bottom w:w="0" w:type="dxa"/>
          <w:right w:w="108" w:type="dxa"/>
        </w:tblCellMar>
      </w:tblPr>
      <w:tblGrid>
        <w:gridCol w:w="692"/>
        <w:gridCol w:w="2037"/>
        <w:gridCol w:w="918"/>
        <w:gridCol w:w="3597"/>
        <w:gridCol w:w="1019"/>
      </w:tblGrid>
      <w:tr>
        <w:tblPrEx>
          <w:tblCellMar>
            <w:top w:w="0" w:type="dxa"/>
            <w:left w:w="108" w:type="dxa"/>
            <w:bottom w:w="0" w:type="dxa"/>
            <w:right w:w="108" w:type="dxa"/>
          </w:tblCellMar>
        </w:tblPrEx>
        <w:trPr>
          <w:trHeight w:val="505" w:hRule="atLeast"/>
        </w:trPr>
        <w:tc>
          <w:tcPr>
            <w:tcW w:w="82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sz w:val="22"/>
              </w:rPr>
              <w:t>学术交流讲座</w:t>
            </w:r>
          </w:p>
        </w:tc>
      </w:tr>
      <w:tr>
        <w:tblPrEx>
          <w:tblCellMar>
            <w:top w:w="0" w:type="dxa"/>
            <w:left w:w="108" w:type="dxa"/>
            <w:bottom w:w="0" w:type="dxa"/>
            <w:right w:w="108" w:type="dxa"/>
          </w:tblCellMar>
        </w:tblPrEx>
        <w:trPr>
          <w:trHeight w:val="42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序号</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学术讲座名称</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主讲人</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主讲人简介</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时间</w:t>
            </w:r>
          </w:p>
        </w:tc>
      </w:tr>
      <w:tr>
        <w:tblPrEx>
          <w:tblCellMar>
            <w:top w:w="0" w:type="dxa"/>
            <w:left w:w="108" w:type="dxa"/>
            <w:bottom w:w="0" w:type="dxa"/>
            <w:right w:w="108" w:type="dxa"/>
          </w:tblCellMar>
        </w:tblPrEx>
        <w:trPr>
          <w:trHeight w:val="7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税收风险管理之纳税评估</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彭琳欢</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新疆自治区税务局第三税务分局，从事税收风险分析和识别、全区风险应对任务统筹推送和应对指导。</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2021年3月25日</w:t>
            </w:r>
          </w:p>
        </w:tc>
      </w:tr>
      <w:tr>
        <w:tblPrEx>
          <w:tblCellMar>
            <w:top w:w="0" w:type="dxa"/>
            <w:left w:w="108" w:type="dxa"/>
            <w:bottom w:w="0" w:type="dxa"/>
            <w:right w:w="108" w:type="dxa"/>
          </w:tblCellMar>
        </w:tblPrEx>
        <w:trPr>
          <w:trHeight w:val="8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从《资本的秘密》看不发达国家的发展道路</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刘守刚</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上海财经大学公共经济与管理学院副教授、博士生导师、经济学博士、法学博士</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2021年4月16日</w:t>
            </w:r>
          </w:p>
        </w:tc>
      </w:tr>
      <w:tr>
        <w:tblPrEx>
          <w:tblCellMar>
            <w:top w:w="0" w:type="dxa"/>
            <w:left w:w="108" w:type="dxa"/>
            <w:bottom w:w="0" w:type="dxa"/>
            <w:right w:w="108" w:type="dxa"/>
          </w:tblCellMar>
        </w:tblPrEx>
        <w:trPr>
          <w:trHeight w:val="923"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现代货币数量论和奥地利学派比较研究：货币与周期理论</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谢华育</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曾长期任职于国有金融机构和上海市市级决策咨询机构。现任上海社会科学院经济研究所副研究员，研究领域为经济思想史。</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2021年4月23日</w:t>
            </w:r>
          </w:p>
        </w:tc>
      </w:tr>
      <w:tr>
        <w:tblPrEx>
          <w:tblCellMar>
            <w:top w:w="0" w:type="dxa"/>
            <w:left w:w="108" w:type="dxa"/>
            <w:bottom w:w="0" w:type="dxa"/>
            <w:right w:w="108" w:type="dxa"/>
          </w:tblCellMar>
        </w:tblPrEx>
        <w:trPr>
          <w:trHeight w:val="84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预算与中国的国家治理现代化</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刘小兵</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上海财经大学公共经济与管理学院院长、教授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2021年4月24日</w:t>
            </w:r>
          </w:p>
        </w:tc>
      </w:tr>
      <w:tr>
        <w:tblPrEx>
          <w:tblCellMar>
            <w:top w:w="0" w:type="dxa"/>
            <w:left w:w="108" w:type="dxa"/>
            <w:bottom w:w="0" w:type="dxa"/>
            <w:right w:w="108" w:type="dxa"/>
          </w:tblCellMar>
        </w:tblPrEx>
        <w:trPr>
          <w:trHeight w:val="51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境内关联企业融通资金如何规避资本弱化税务风险的思考路径</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张奕</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中瑞岳华税务师事务所高级项目经理，兼职税务讲师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2021年4月24日</w:t>
            </w:r>
          </w:p>
        </w:tc>
      </w:tr>
      <w:tr>
        <w:tblPrEx>
          <w:tblCellMar>
            <w:top w:w="0" w:type="dxa"/>
            <w:left w:w="108" w:type="dxa"/>
            <w:bottom w:w="0" w:type="dxa"/>
            <w:right w:w="108" w:type="dxa"/>
          </w:tblCellMar>
        </w:tblPrEx>
        <w:trPr>
          <w:trHeight w:val="7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税收风险防范与控制</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闵俊</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尤尼泰税务师事务所业务总监，中国注册会计师、注册税务师。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2021年4月30日</w:t>
            </w:r>
          </w:p>
        </w:tc>
      </w:tr>
      <w:tr>
        <w:tblPrEx>
          <w:tblCellMar>
            <w:top w:w="0" w:type="dxa"/>
            <w:left w:w="108" w:type="dxa"/>
            <w:bottom w:w="0" w:type="dxa"/>
            <w:right w:w="108" w:type="dxa"/>
          </w:tblCellMar>
        </w:tblPrEx>
        <w:trPr>
          <w:trHeight w:val="51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大数据智能化监管下的税务筹划</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闵俊</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尤尼泰税务师事务所业务总监，中国注册会计师、注册税务师。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2021年5月7日</w:t>
            </w:r>
          </w:p>
        </w:tc>
      </w:tr>
      <w:tr>
        <w:tblPrEx>
          <w:tblCellMar>
            <w:top w:w="0" w:type="dxa"/>
            <w:left w:w="108" w:type="dxa"/>
            <w:bottom w:w="0" w:type="dxa"/>
            <w:right w:w="108" w:type="dxa"/>
          </w:tblCellMar>
        </w:tblPrEx>
        <w:trPr>
          <w:trHeight w:val="1262"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预算绩效管理：理论与国际经验的启发</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何达基</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香港城市大学公共政策系主任、教授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2021年5月8日</w:t>
            </w:r>
          </w:p>
        </w:tc>
      </w:tr>
      <w:tr>
        <w:tblPrEx>
          <w:tblCellMar>
            <w:top w:w="0" w:type="dxa"/>
            <w:left w:w="108" w:type="dxa"/>
            <w:bottom w:w="0" w:type="dxa"/>
            <w:right w:w="108" w:type="dxa"/>
          </w:tblCellMar>
        </w:tblPrEx>
        <w:trPr>
          <w:trHeight w:val="7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“走出去”企业面临的主要税务风险及应对</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梁红星</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经济学硕士（税务专业）、工商管理博士（税务方向），高级经济师，中国注册税务师。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2021年5月12日</w:t>
            </w:r>
          </w:p>
        </w:tc>
      </w:tr>
      <w:tr>
        <w:tblPrEx>
          <w:tblCellMar>
            <w:top w:w="0" w:type="dxa"/>
            <w:left w:w="108" w:type="dxa"/>
            <w:bottom w:w="0" w:type="dxa"/>
            <w:right w:w="108" w:type="dxa"/>
          </w:tblCellMar>
        </w:tblPrEx>
        <w:trPr>
          <w:trHeight w:val="7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高质量发展阶段的社会治理</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王振耀</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北京师范大学公益研究院院长、教授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2021年5月16日</w:t>
            </w:r>
          </w:p>
        </w:tc>
      </w:tr>
      <w:tr>
        <w:tblPrEx>
          <w:tblCellMar>
            <w:top w:w="0" w:type="dxa"/>
            <w:left w:w="108" w:type="dxa"/>
            <w:bottom w:w="0" w:type="dxa"/>
            <w:right w:w="108" w:type="dxa"/>
          </w:tblCellMar>
        </w:tblPrEx>
        <w:trPr>
          <w:trHeight w:val="7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税收协定理论与实务</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曹佩浩</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工商管理硕士（MBA)，会计师，注册税务师，新疆税务系统公职律师，国家税务总局总局国际税收管理人才库成员</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2021年5月19日</w:t>
            </w:r>
          </w:p>
        </w:tc>
      </w:tr>
      <w:tr>
        <w:tblPrEx>
          <w:tblCellMar>
            <w:top w:w="0" w:type="dxa"/>
            <w:left w:w="108" w:type="dxa"/>
            <w:bottom w:w="0" w:type="dxa"/>
            <w:right w:w="108" w:type="dxa"/>
          </w:tblCellMar>
        </w:tblPrEx>
        <w:trPr>
          <w:trHeight w:val="1043"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全球化与国际税收改革</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廖体忠</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原国家税务总局国际税务司司长</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2021年5月22日</w:t>
            </w:r>
          </w:p>
        </w:tc>
      </w:tr>
      <w:tr>
        <w:tblPrEx>
          <w:tblCellMar>
            <w:top w:w="0" w:type="dxa"/>
            <w:left w:w="108" w:type="dxa"/>
            <w:bottom w:w="0" w:type="dxa"/>
            <w:right w:w="108" w:type="dxa"/>
          </w:tblCellMar>
        </w:tblPrEx>
        <w:trPr>
          <w:trHeight w:val="507"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公共教育支出受益归宿——BIA方法及其拓展</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赵海利</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浙江财经大学财税学院教授，博导，浙江省高校优秀教师，全国教育经济学会常务理事、浙江省财政学会理事。</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2021年5月26日</w:t>
            </w:r>
          </w:p>
        </w:tc>
      </w:tr>
      <w:tr>
        <w:tblPrEx>
          <w:tblCellMar>
            <w:top w:w="0" w:type="dxa"/>
            <w:left w:w="108" w:type="dxa"/>
            <w:bottom w:w="0" w:type="dxa"/>
            <w:right w:w="108" w:type="dxa"/>
          </w:tblCellMar>
        </w:tblPrEx>
        <w:trPr>
          <w:trHeight w:val="7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地方财政生态“失衡”现象及其“修复”</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王振宇</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辽宁大学地方财政研究院院长、教授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2021年5月29日</w:t>
            </w:r>
          </w:p>
        </w:tc>
      </w:tr>
      <w:tr>
        <w:tblPrEx>
          <w:tblCellMar>
            <w:top w:w="0" w:type="dxa"/>
            <w:left w:w="108" w:type="dxa"/>
            <w:bottom w:w="0" w:type="dxa"/>
            <w:right w:w="108" w:type="dxa"/>
          </w:tblCellMar>
        </w:tblPrEx>
        <w:trPr>
          <w:trHeight w:val="7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“十四五”医疗卫生改革的重点与政府财税政策选择</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李玲</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中信改革发展研究基金会咨询委员，北京大学教授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2021年6月2日</w:t>
            </w:r>
          </w:p>
        </w:tc>
      </w:tr>
      <w:tr>
        <w:tblPrEx>
          <w:tblCellMar>
            <w:top w:w="0" w:type="dxa"/>
            <w:left w:w="108" w:type="dxa"/>
            <w:bottom w:w="0" w:type="dxa"/>
            <w:right w:w="108" w:type="dxa"/>
          </w:tblCellMar>
        </w:tblPrEx>
        <w:trPr>
          <w:trHeight w:val="7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16</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十四五时期的中国财政</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冯俏彬</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国务院发展研究中心宏观部副部长、教授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2021年6月5日</w:t>
            </w:r>
          </w:p>
        </w:tc>
      </w:tr>
      <w:tr>
        <w:tblPrEx>
          <w:tblCellMar>
            <w:top w:w="0" w:type="dxa"/>
            <w:left w:w="108" w:type="dxa"/>
            <w:bottom w:w="0" w:type="dxa"/>
            <w:right w:w="108" w:type="dxa"/>
          </w:tblCellMar>
        </w:tblPrEx>
        <w:trPr>
          <w:trHeight w:val="10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17</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我国“十四五”财政安全面临的风险挑战与应对策略</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白彦锋</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中央财经大学财政税务学院院长、中国财政发展协同创新中心主任、中央财经大学第八届学术委员会委员、应用经济学部委员。</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2021年6月7日</w:t>
            </w:r>
          </w:p>
        </w:tc>
      </w:tr>
      <w:tr>
        <w:tblPrEx>
          <w:tblCellMar>
            <w:top w:w="0" w:type="dxa"/>
            <w:left w:w="108" w:type="dxa"/>
            <w:bottom w:w="0" w:type="dxa"/>
            <w:right w:w="108" w:type="dxa"/>
          </w:tblCellMar>
        </w:tblPrEx>
        <w:trPr>
          <w:trHeight w:val="7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18</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现代预算制度建设中的绩效管理</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马蔡琛</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南开大学经济学院财政学系副主任、教授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2021年6月12日</w:t>
            </w:r>
          </w:p>
        </w:tc>
      </w:tr>
      <w:tr>
        <w:tblPrEx>
          <w:tblCellMar>
            <w:top w:w="0" w:type="dxa"/>
            <w:left w:w="108" w:type="dxa"/>
            <w:bottom w:w="0" w:type="dxa"/>
            <w:right w:w="108" w:type="dxa"/>
          </w:tblCellMar>
        </w:tblPrEx>
        <w:trPr>
          <w:trHeight w:val="7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19</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“一带一路”倡议与企业高质量发展</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李长青</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新疆财经大学工商管理学院副教授、副院长（援疆）。研究方向：企业国际化与国际贸易。</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2021年6月17日</w:t>
            </w:r>
          </w:p>
        </w:tc>
      </w:tr>
      <w:tr>
        <w:tblPrEx>
          <w:tblCellMar>
            <w:top w:w="0" w:type="dxa"/>
            <w:left w:w="108" w:type="dxa"/>
            <w:bottom w:w="0" w:type="dxa"/>
            <w:right w:w="108" w:type="dxa"/>
          </w:tblCellMar>
        </w:tblPrEx>
        <w:trPr>
          <w:trHeight w:val="7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税收对西方现代国家的塑造</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刘守刚</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上海财经大学公共经济与管理学院副教授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2021年7月17日</w:t>
            </w:r>
          </w:p>
        </w:tc>
      </w:tr>
      <w:tr>
        <w:tblPrEx>
          <w:tblCellMar>
            <w:top w:w="0" w:type="dxa"/>
            <w:left w:w="108" w:type="dxa"/>
            <w:bottom w:w="0" w:type="dxa"/>
            <w:right w:w="108" w:type="dxa"/>
          </w:tblCellMar>
        </w:tblPrEx>
        <w:trPr>
          <w:trHeight w:val="7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21</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财政社会学视角下财政理论重建</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刘晓路</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中国人民大学财政金融学院财政系副教授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2021年7月31日</w:t>
            </w:r>
          </w:p>
        </w:tc>
      </w:tr>
      <w:tr>
        <w:tblPrEx>
          <w:tblCellMar>
            <w:top w:w="0" w:type="dxa"/>
            <w:left w:w="108" w:type="dxa"/>
            <w:bottom w:w="0" w:type="dxa"/>
            <w:right w:w="108" w:type="dxa"/>
          </w:tblCellMar>
        </w:tblPrEx>
        <w:trPr>
          <w:trHeight w:val="7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2021年“研究生科研素养提升”系列公益讲座</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中国知网</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中国学位与研究教育学会和中国知网</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2021年8月17日</w:t>
            </w:r>
          </w:p>
        </w:tc>
      </w:tr>
      <w:tr>
        <w:tblPrEx>
          <w:tblCellMar>
            <w:top w:w="0" w:type="dxa"/>
            <w:left w:w="108" w:type="dxa"/>
            <w:bottom w:w="0" w:type="dxa"/>
            <w:right w:w="108" w:type="dxa"/>
          </w:tblCellMar>
        </w:tblPrEx>
        <w:trPr>
          <w:trHeight w:val="7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23</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如何成为一名优秀的国际税实务专家人士</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梁红星</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高级经济师，注册税务师，北京税海之星税务咨询有限责任公司创始人，国家税务总局《中国税网》税务专家顾问。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2021年9月9日</w:t>
            </w:r>
          </w:p>
        </w:tc>
      </w:tr>
      <w:tr>
        <w:tblPrEx>
          <w:tblCellMar>
            <w:top w:w="0" w:type="dxa"/>
            <w:left w:w="108" w:type="dxa"/>
            <w:bottom w:w="0" w:type="dxa"/>
            <w:right w:w="108" w:type="dxa"/>
          </w:tblCellMar>
        </w:tblPrEx>
        <w:trPr>
          <w:trHeight w:val="7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24</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社会保险费制度与征管</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孙海虹</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国家税务总局新疆维吾尔族自治区税务局社会保险费四级调研员</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2021年10月1日</w:t>
            </w:r>
          </w:p>
        </w:tc>
      </w:tr>
      <w:tr>
        <w:tblPrEx>
          <w:tblCellMar>
            <w:top w:w="0" w:type="dxa"/>
            <w:left w:w="108" w:type="dxa"/>
            <w:bottom w:w="0" w:type="dxa"/>
            <w:right w:w="108" w:type="dxa"/>
          </w:tblCellMar>
        </w:tblPrEx>
        <w:trPr>
          <w:trHeight w:val="7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25</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庆祝中国共产党成立一百周年“中国共产党百年财税治理思想与实践”学术研讨会</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中央财经大学财政税务学院</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中央财经大学财政税务学院</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2021年10月10日</w:t>
            </w:r>
          </w:p>
        </w:tc>
      </w:tr>
      <w:tr>
        <w:tblPrEx>
          <w:tblCellMar>
            <w:top w:w="0" w:type="dxa"/>
            <w:left w:w="108" w:type="dxa"/>
            <w:bottom w:w="0" w:type="dxa"/>
            <w:right w:w="108" w:type="dxa"/>
          </w:tblCellMar>
        </w:tblPrEx>
        <w:trPr>
          <w:trHeight w:val="7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26</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国际工程与劳务税务实务</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梁红星</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高级经济师，注册税务师，北京税海之星税务咨询有限责任公司创始人，国家税务总局《中国税网》税务专家顾问。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2021年10月13日</w:t>
            </w:r>
          </w:p>
        </w:tc>
      </w:tr>
      <w:tr>
        <w:tblPrEx>
          <w:tblCellMar>
            <w:top w:w="0" w:type="dxa"/>
            <w:left w:w="108" w:type="dxa"/>
            <w:bottom w:w="0" w:type="dxa"/>
            <w:right w:w="108" w:type="dxa"/>
          </w:tblCellMar>
        </w:tblPrEx>
        <w:trPr>
          <w:trHeight w:val="7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27</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新形势下如何加强对“走出去”企业的服务与管理</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张芸</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国家税务总局乌鲁木齐市税务局国际税收管理科二级主办</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2021年10月21日</w:t>
            </w:r>
          </w:p>
        </w:tc>
      </w:tr>
      <w:tr>
        <w:tblPrEx>
          <w:tblCellMar>
            <w:top w:w="0" w:type="dxa"/>
            <w:left w:w="108" w:type="dxa"/>
            <w:bottom w:w="0" w:type="dxa"/>
            <w:right w:w="108" w:type="dxa"/>
          </w:tblCellMar>
        </w:tblPrEx>
        <w:trPr>
          <w:trHeight w:val="7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28</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地方财政生态“失衡”现象及其修复</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王振宇</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辽宁大学地方财政研究院院长</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2021年10月23日</w:t>
            </w:r>
          </w:p>
        </w:tc>
      </w:tr>
      <w:tr>
        <w:tblPrEx>
          <w:tblCellMar>
            <w:top w:w="0" w:type="dxa"/>
            <w:left w:w="108" w:type="dxa"/>
            <w:bottom w:w="0" w:type="dxa"/>
            <w:right w:w="108" w:type="dxa"/>
          </w:tblCellMar>
        </w:tblPrEx>
        <w:trPr>
          <w:trHeight w:val="7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29</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我国税收实体法现状和前景展望</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赵剑平</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中国注册税务师，乌鲁木齐市东方金典税务咨询服务有限公司经理，从事财税工作三十多年，熟悉会计核算、税收征管、税政管理和业务培训。</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2021年10月29日</w:t>
            </w:r>
          </w:p>
        </w:tc>
      </w:tr>
      <w:tr>
        <w:tblPrEx>
          <w:tblCellMar>
            <w:top w:w="0" w:type="dxa"/>
            <w:left w:w="108" w:type="dxa"/>
            <w:bottom w:w="0" w:type="dxa"/>
            <w:right w:w="108" w:type="dxa"/>
          </w:tblCellMar>
        </w:tblPrEx>
        <w:trPr>
          <w:trHeight w:val="7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“十四五”时期的现代财税体制改革</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山东大学经济学院</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山东大学经济学院</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2021年11月6日</w:t>
            </w:r>
          </w:p>
        </w:tc>
      </w:tr>
      <w:tr>
        <w:tblPrEx>
          <w:tblCellMar>
            <w:top w:w="0" w:type="dxa"/>
            <w:left w:w="108" w:type="dxa"/>
            <w:bottom w:w="0" w:type="dxa"/>
            <w:right w:w="108" w:type="dxa"/>
          </w:tblCellMar>
        </w:tblPrEx>
        <w:trPr>
          <w:trHeight w:val="7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31</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中国财税法治建设的进展与方向</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朱为群</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上海财经大学公共经济与管理学院教授，博导，兼任教育部全国税务专业学位研究生教指委委员，中国税务学会理事，中国税收教育研究会副会长等</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2021年11月7日</w:t>
            </w:r>
          </w:p>
        </w:tc>
      </w:tr>
      <w:tr>
        <w:tblPrEx>
          <w:tblCellMar>
            <w:top w:w="0" w:type="dxa"/>
            <w:left w:w="108" w:type="dxa"/>
            <w:bottom w:w="0" w:type="dxa"/>
            <w:right w:w="108" w:type="dxa"/>
          </w:tblCellMar>
        </w:tblPrEx>
        <w:trPr>
          <w:trHeight w:val="7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32</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中国财政投融资2021年年会</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中央财经大学财政税务学院</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中央财经大学财政税务学院</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2021年11月13日</w:t>
            </w:r>
          </w:p>
        </w:tc>
      </w:tr>
      <w:tr>
        <w:tblPrEx>
          <w:tblCellMar>
            <w:top w:w="0" w:type="dxa"/>
            <w:left w:w="108" w:type="dxa"/>
            <w:bottom w:w="0" w:type="dxa"/>
            <w:right w:w="108" w:type="dxa"/>
          </w:tblCellMar>
        </w:tblPrEx>
        <w:trPr>
          <w:trHeight w:val="7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33</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中国“走出去”企业全球投资架构税收简析</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梁红星</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高级经济师，注册税务师，北京税海之星税务咨询有限责任公司创始人，国家税务总局《中国税网》税务专家顾问。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2021年11月13日</w:t>
            </w:r>
          </w:p>
        </w:tc>
      </w:tr>
      <w:tr>
        <w:tblPrEx>
          <w:tblCellMar>
            <w:top w:w="0" w:type="dxa"/>
            <w:left w:w="108" w:type="dxa"/>
            <w:bottom w:w="0" w:type="dxa"/>
            <w:right w:w="108" w:type="dxa"/>
          </w:tblCellMar>
        </w:tblPrEx>
        <w:trPr>
          <w:trHeight w:val="7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34</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新疆税收改革的实践</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李振宇</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新疆维吾尔自治区国税局巡视员，新疆税务学会会长。</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2021年11月14日</w:t>
            </w:r>
          </w:p>
        </w:tc>
      </w:tr>
      <w:tr>
        <w:tblPrEx>
          <w:tblCellMar>
            <w:top w:w="0" w:type="dxa"/>
            <w:left w:w="108" w:type="dxa"/>
            <w:bottom w:w="0" w:type="dxa"/>
            <w:right w:w="108" w:type="dxa"/>
          </w:tblCellMar>
        </w:tblPrEx>
        <w:trPr>
          <w:trHeight w:val="7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35</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省以下财政体制“特殊性”事实、问题及其改进</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王振宇</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辽宁大学地方财政研究院院长</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2021年11月20日</w:t>
            </w:r>
          </w:p>
        </w:tc>
      </w:tr>
      <w:tr>
        <w:tblPrEx>
          <w:tblCellMar>
            <w:top w:w="0" w:type="dxa"/>
            <w:left w:w="108" w:type="dxa"/>
            <w:bottom w:w="0" w:type="dxa"/>
            <w:right w:w="108" w:type="dxa"/>
          </w:tblCellMar>
        </w:tblPrEx>
        <w:trPr>
          <w:trHeight w:val="7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36</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第七届全国“财税理论与政策”优秀研究生学术论坛</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江西财经大学</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江西财经大学</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2021年12月26日</w:t>
            </w:r>
          </w:p>
        </w:tc>
      </w:tr>
    </w:tbl>
    <w:p>
      <w:pPr>
        <w:pStyle w:val="19"/>
        <w:snapToGrid w:val="0"/>
        <w:spacing w:line="360" w:lineRule="auto"/>
        <w:ind w:firstLine="560" w:firstLineChars="200"/>
        <w:rPr>
          <w:rFonts w:ascii="宋体" w:hAnsi="宋体" w:cs="宋体"/>
          <w:color w:val="000000"/>
          <w:sz w:val="28"/>
          <w:szCs w:val="28"/>
          <w:lang w:val="zh-TW" w:eastAsia="zh-TW"/>
        </w:rPr>
      </w:pPr>
    </w:p>
    <w:p>
      <w:pPr>
        <w:ind w:firstLine="562" w:firstLineChars="200"/>
        <w:outlineLvl w:val="1"/>
        <w:rPr>
          <w:rFonts w:ascii="宋体" w:hAnsi="宋体" w:cs="宋体"/>
          <w:b/>
          <w:bCs/>
          <w:color w:val="000000"/>
          <w:kern w:val="0"/>
          <w:sz w:val="28"/>
          <w:szCs w:val="28"/>
        </w:rPr>
      </w:pPr>
      <w:bookmarkStart w:id="33" w:name="_Toc17476"/>
      <w:bookmarkStart w:id="34" w:name="_Toc15891"/>
      <w:r>
        <w:rPr>
          <w:rFonts w:hint="eastAsia" w:ascii="宋体" w:hAnsi="宋体" w:cs="宋体"/>
          <w:b/>
          <w:bCs/>
          <w:color w:val="000000"/>
          <w:kern w:val="0"/>
          <w:sz w:val="28"/>
          <w:szCs w:val="28"/>
        </w:rPr>
        <w:t>（四）</w:t>
      </w:r>
      <w:r>
        <w:rPr>
          <w:rFonts w:ascii="宋体" w:hAnsi="宋体" w:cs="宋体"/>
          <w:b/>
          <w:bCs/>
          <w:color w:val="000000"/>
          <w:kern w:val="0"/>
          <w:sz w:val="28"/>
          <w:szCs w:val="28"/>
        </w:rPr>
        <w:t>研究生奖助情况</w:t>
      </w:r>
      <w:bookmarkEnd w:id="33"/>
      <w:bookmarkEnd w:id="34"/>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zh-TW" w:eastAsia="zh-TW"/>
        </w:rPr>
        <w:t>本学位授权点</w:t>
      </w:r>
      <w:r>
        <w:rPr>
          <w:rFonts w:hint="eastAsia" w:ascii="宋体" w:hAnsi="宋体" w:cs="宋体"/>
          <w:color w:val="000000"/>
          <w:sz w:val="28"/>
          <w:szCs w:val="28"/>
        </w:rPr>
        <w:t>2021年</w:t>
      </w:r>
      <w:r>
        <w:rPr>
          <w:rFonts w:hint="eastAsia" w:ascii="宋体" w:hAnsi="宋体" w:cs="宋体"/>
          <w:color w:val="000000"/>
          <w:sz w:val="28"/>
          <w:szCs w:val="28"/>
          <w:lang w:val="zh-TW" w:eastAsia="zh-TW"/>
        </w:rPr>
        <w:t>研究生奖助工作</w:t>
      </w:r>
      <w:r>
        <w:rPr>
          <w:rFonts w:hint="eastAsia" w:ascii="宋体" w:hAnsi="宋体" w:cs="宋体"/>
          <w:color w:val="000000"/>
          <w:sz w:val="28"/>
          <w:szCs w:val="28"/>
          <w:lang w:val="zh-TW"/>
        </w:rPr>
        <w:t>顺利开展</w:t>
      </w:r>
      <w:r>
        <w:rPr>
          <w:rFonts w:hint="eastAsia" w:ascii="宋体" w:hAnsi="宋体" w:cs="宋体"/>
          <w:color w:val="000000"/>
          <w:sz w:val="28"/>
          <w:szCs w:val="28"/>
          <w:lang w:val="zh-TW" w:eastAsia="zh-TW"/>
        </w:rPr>
        <w:t>，学院专门组织了研究生奖助评审委员会，公平、民主、公开地完成了奖助评定。</w:t>
      </w:r>
      <w:r>
        <w:rPr>
          <w:rFonts w:hint="eastAsia" w:ascii="宋体" w:hAnsi="宋体" w:cs="宋体"/>
          <w:color w:val="000000"/>
          <w:sz w:val="28"/>
          <w:szCs w:val="28"/>
          <w:lang w:val="zh-TW"/>
        </w:rPr>
        <w:t>研究生奖、助学金评定要根据相关文件要求经过学生自主申请并提交相关证明、</w:t>
      </w:r>
      <w:r>
        <w:rPr>
          <w:rFonts w:hint="eastAsia" w:ascii="宋体" w:hAnsi="宋体" w:cs="宋体"/>
          <w:color w:val="000000"/>
          <w:sz w:val="28"/>
          <w:szCs w:val="28"/>
        </w:rPr>
        <w:t>学院辅导员审核、学院主管院长审核、党政联席会审议通过、公示等多环节确定最终名单。</w:t>
      </w:r>
    </w:p>
    <w:p>
      <w:pPr>
        <w:pStyle w:val="19"/>
        <w:snapToGrid w:val="0"/>
        <w:spacing w:line="360" w:lineRule="auto"/>
        <w:ind w:firstLine="560" w:firstLineChars="200"/>
        <w:rPr>
          <w:rFonts w:ascii="宋体" w:hAnsi="宋体" w:cs="宋体"/>
          <w:color w:val="000000"/>
          <w:sz w:val="28"/>
          <w:szCs w:val="28"/>
          <w:highlight w:val="yellow"/>
        </w:rPr>
      </w:pPr>
      <w:r>
        <w:rPr>
          <w:rFonts w:hint="eastAsia" w:ascii="宋体" w:hAnsi="宋体" w:cs="宋体"/>
          <w:color w:val="000000"/>
          <w:sz w:val="28"/>
          <w:szCs w:val="28"/>
        </w:rPr>
        <w:t>2021年度研究生</w:t>
      </w:r>
      <w:r>
        <w:rPr>
          <w:rFonts w:hint="eastAsia" w:ascii="宋体" w:hAnsi="宋体" w:cs="宋体"/>
          <w:color w:val="000000"/>
          <w:sz w:val="28"/>
          <w:szCs w:val="28"/>
          <w:lang w:val="zh-TW" w:eastAsia="zh-TW"/>
        </w:rPr>
        <w:t>奖助情况</w:t>
      </w:r>
      <w:r>
        <w:rPr>
          <w:rFonts w:hint="eastAsia" w:ascii="宋体" w:hAnsi="宋体" w:cs="宋体"/>
          <w:color w:val="000000"/>
          <w:sz w:val="28"/>
          <w:szCs w:val="28"/>
        </w:rPr>
        <w:t>如下：10名学生获得2020-2021学年自治区奖学金，共有1</w:t>
      </w:r>
      <w:r>
        <w:rPr>
          <w:rFonts w:ascii="宋体" w:hAnsi="宋体" w:cs="宋体"/>
          <w:color w:val="000000"/>
          <w:sz w:val="28"/>
          <w:szCs w:val="28"/>
        </w:rPr>
        <w:t>01</w:t>
      </w:r>
      <w:r>
        <w:rPr>
          <w:rFonts w:hint="eastAsia" w:ascii="宋体" w:hAnsi="宋体" w:cs="宋体"/>
          <w:color w:val="000000"/>
          <w:sz w:val="28"/>
          <w:szCs w:val="28"/>
        </w:rPr>
        <w:t>人次获2</w:t>
      </w:r>
      <w:r>
        <w:rPr>
          <w:rFonts w:ascii="宋体" w:hAnsi="宋体" w:cs="宋体"/>
          <w:color w:val="000000"/>
          <w:sz w:val="28"/>
          <w:szCs w:val="28"/>
        </w:rPr>
        <w:t>021</w:t>
      </w:r>
      <w:r>
        <w:rPr>
          <w:rFonts w:hint="eastAsia" w:ascii="宋体" w:hAnsi="宋体" w:cs="宋体"/>
          <w:color w:val="000000"/>
          <w:sz w:val="28"/>
          <w:szCs w:val="28"/>
        </w:rPr>
        <w:t>年度学业奖学金。</w:t>
      </w:r>
    </w:p>
    <w:p>
      <w:pPr>
        <w:spacing w:before="93" w:beforeLines="30" w:after="93" w:afterLines="30"/>
        <w:ind w:firstLine="560" w:firstLineChars="200"/>
        <w:outlineLvl w:val="0"/>
        <w:rPr>
          <w:rFonts w:ascii="黑体" w:hAnsi="黑体" w:eastAsia="黑体"/>
          <w:sz w:val="28"/>
          <w:szCs w:val="28"/>
        </w:rPr>
      </w:pPr>
      <w:bookmarkStart w:id="35" w:name="_Toc11069"/>
      <w:bookmarkStart w:id="36" w:name="_Toc26256"/>
      <w:bookmarkStart w:id="37" w:name="_Toc13781"/>
      <w:r>
        <w:rPr>
          <w:rFonts w:ascii="黑体" w:hAnsi="黑体" w:eastAsia="黑体"/>
          <w:sz w:val="28"/>
          <w:szCs w:val="28"/>
        </w:rPr>
        <w:t>四、研究生教育改革情况</w:t>
      </w:r>
      <w:bookmarkEnd w:id="35"/>
      <w:bookmarkEnd w:id="36"/>
      <w:bookmarkEnd w:id="37"/>
    </w:p>
    <w:p>
      <w:pPr>
        <w:pStyle w:val="19"/>
        <w:snapToGrid w:val="0"/>
        <w:spacing w:line="360" w:lineRule="auto"/>
        <w:ind w:firstLine="560" w:firstLineChars="200"/>
        <w:rPr>
          <w:rFonts w:ascii="宋体" w:hAnsi="宋体" w:cs="宋体"/>
          <w:color w:val="000000"/>
          <w:sz w:val="28"/>
          <w:szCs w:val="28"/>
        </w:rPr>
      </w:pPr>
      <w:r>
        <w:rPr>
          <w:rFonts w:ascii="宋体" w:hAnsi="宋体" w:cs="宋体"/>
          <w:color w:val="000000"/>
          <w:sz w:val="28"/>
          <w:szCs w:val="28"/>
        </w:rPr>
        <w:t>人才培养，教师队伍建设，科学研究，传承创新优秀文化，国际合作交流等方面的改革创新情况。</w:t>
      </w:r>
    </w:p>
    <w:p>
      <w:pPr>
        <w:ind w:firstLine="562" w:firstLineChars="200"/>
        <w:outlineLvl w:val="1"/>
        <w:rPr>
          <w:rFonts w:ascii="黑体" w:hAnsi="黑体" w:eastAsia="黑体" w:cs="黑体"/>
          <w:sz w:val="32"/>
          <w:szCs w:val="32"/>
        </w:rPr>
      </w:pPr>
      <w:bookmarkStart w:id="38" w:name="_Toc29094"/>
      <w:bookmarkStart w:id="39" w:name="_Toc9806"/>
      <w:r>
        <w:rPr>
          <w:rFonts w:hint="eastAsia" w:ascii="宋体" w:hAnsi="宋体" w:cs="宋体"/>
          <w:b/>
          <w:bCs/>
          <w:color w:val="000000"/>
          <w:kern w:val="0"/>
          <w:sz w:val="28"/>
          <w:szCs w:val="28"/>
        </w:rPr>
        <w:t>（一）</w:t>
      </w:r>
      <w:r>
        <w:rPr>
          <w:rFonts w:ascii="宋体" w:hAnsi="宋体" w:cs="宋体"/>
          <w:b/>
          <w:bCs/>
          <w:color w:val="000000"/>
          <w:kern w:val="0"/>
          <w:sz w:val="28"/>
          <w:szCs w:val="28"/>
        </w:rPr>
        <w:t>人才培养</w:t>
      </w:r>
      <w:bookmarkEnd w:id="38"/>
      <w:bookmarkEnd w:id="39"/>
    </w:p>
    <w:p>
      <w:pPr>
        <w:pStyle w:val="19"/>
        <w:snapToGrid w:val="0"/>
        <w:spacing w:line="360" w:lineRule="auto"/>
        <w:ind w:firstLine="560" w:firstLineChars="200"/>
        <w:rPr>
          <w:rFonts w:ascii="宋体" w:hAnsi="宋体" w:cs="宋体"/>
          <w:color w:val="000000"/>
          <w:sz w:val="28"/>
          <w:szCs w:val="28"/>
          <w:lang w:val="zh-TW" w:eastAsia="zh-TW"/>
        </w:rPr>
      </w:pPr>
      <w:r>
        <w:rPr>
          <w:rFonts w:hint="eastAsia" w:ascii="宋体" w:hAnsi="宋体" w:cs="宋体"/>
          <w:color w:val="000000"/>
          <w:sz w:val="28"/>
          <w:szCs w:val="28"/>
        </w:rPr>
        <w:t>本</w:t>
      </w:r>
      <w:r>
        <w:rPr>
          <w:rFonts w:hint="eastAsia" w:ascii="宋体" w:hAnsi="宋体" w:cs="宋体"/>
          <w:color w:val="000000"/>
          <w:sz w:val="28"/>
          <w:szCs w:val="28"/>
          <w:lang w:val="zh-TW" w:eastAsia="zh-TW"/>
        </w:rPr>
        <w:t>学位授权点以习近平新时代中国特色社会主义思想为指导，以立德树人为根本任务，面向社会涉税管理岗位需求，培养政治合格、德智体美劳全</w:t>
      </w:r>
      <w:r>
        <w:rPr>
          <w:rFonts w:hint="eastAsia" w:ascii="宋体" w:hAnsi="宋体" w:cs="宋体"/>
          <w:sz w:val="28"/>
          <w:szCs w:val="28"/>
          <w:lang w:val="zh-TW" w:eastAsia="zh-TW"/>
        </w:rPr>
        <w:t>面发展，系统学习税收理论、税收制度、税务管理、国际税收等相关知识，掌握税务筹划、税务代理、税务稽查等实务技能，</w:t>
      </w:r>
      <w:r>
        <w:rPr>
          <w:rFonts w:hint="eastAsia" w:ascii="宋体" w:hAnsi="宋体" w:cs="宋体"/>
          <w:color w:val="000000"/>
          <w:sz w:val="28"/>
          <w:szCs w:val="28"/>
          <w:lang w:val="zh-TW" w:eastAsia="zh-TW"/>
        </w:rPr>
        <w:t>具有解决实际涉税问题能力、良好法纪观念、职业道德、团队协作精神和持续学习能力，适应区域经济社会发展需要的税务专业高层次、应用型、复合型人才。</w:t>
      </w:r>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积极推进</w:t>
      </w:r>
      <w:r>
        <w:rPr>
          <w:rFonts w:ascii="宋体" w:hAnsi="宋体" w:cs="宋体"/>
          <w:color w:val="000000"/>
          <w:sz w:val="28"/>
          <w:szCs w:val="28"/>
        </w:rPr>
        <w:t>制度建设</w:t>
      </w:r>
      <w:r>
        <w:rPr>
          <w:rFonts w:hint="eastAsia" w:ascii="宋体" w:hAnsi="宋体" w:cs="宋体"/>
          <w:color w:val="000000"/>
          <w:sz w:val="28"/>
          <w:szCs w:val="28"/>
        </w:rPr>
        <w:t>，</w:t>
      </w:r>
      <w:r>
        <w:rPr>
          <w:rFonts w:ascii="宋体" w:hAnsi="宋体" w:cs="宋体"/>
          <w:color w:val="000000"/>
          <w:sz w:val="28"/>
          <w:szCs w:val="28"/>
        </w:rPr>
        <w:t>建立校、院两级管理机制为学生培养提供质量保障。各部门人员岗位职责清晰，运行高效。学校修订完善《新疆财经大学研究生指导教师培训管理办法》《新疆财经大学研究生导师遴选及管理办法》等 30 余项制度，为学生培养提供质量保障。</w:t>
      </w:r>
    </w:p>
    <w:p>
      <w:pPr>
        <w:ind w:firstLine="562" w:firstLineChars="200"/>
        <w:jc w:val="left"/>
        <w:outlineLvl w:val="1"/>
        <w:rPr>
          <w:rFonts w:ascii="宋体" w:hAnsi="宋体" w:cs="宋体"/>
          <w:b/>
          <w:bCs/>
          <w:color w:val="000000"/>
          <w:kern w:val="0"/>
          <w:sz w:val="28"/>
          <w:szCs w:val="28"/>
        </w:rPr>
      </w:pPr>
      <w:bookmarkStart w:id="40" w:name="_Toc25824"/>
      <w:bookmarkStart w:id="41" w:name="_Toc5141"/>
      <w:r>
        <w:rPr>
          <w:rFonts w:hint="eastAsia" w:ascii="宋体" w:hAnsi="宋体" w:cs="宋体"/>
          <w:b/>
          <w:bCs/>
          <w:color w:val="000000"/>
          <w:kern w:val="0"/>
          <w:sz w:val="28"/>
          <w:szCs w:val="28"/>
        </w:rPr>
        <w:t>（二）</w:t>
      </w:r>
      <w:r>
        <w:rPr>
          <w:rFonts w:ascii="宋体" w:hAnsi="宋体" w:cs="宋体"/>
          <w:b/>
          <w:bCs/>
          <w:color w:val="000000"/>
          <w:kern w:val="0"/>
          <w:sz w:val="28"/>
          <w:szCs w:val="28"/>
        </w:rPr>
        <w:t>教师队伍建设</w:t>
      </w:r>
      <w:bookmarkEnd w:id="40"/>
      <w:bookmarkEnd w:id="41"/>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本</w:t>
      </w:r>
      <w:r>
        <w:rPr>
          <w:rFonts w:ascii="宋体" w:hAnsi="宋体" w:cs="宋体"/>
          <w:color w:val="000000"/>
          <w:sz w:val="28"/>
          <w:szCs w:val="28"/>
          <w:lang w:val="zh-TW" w:eastAsia="zh-TW"/>
        </w:rPr>
        <w:t>学位授权点</w:t>
      </w:r>
      <w:r>
        <w:rPr>
          <w:rFonts w:hint="eastAsia" w:ascii="宋体" w:hAnsi="宋体" w:cs="宋体"/>
          <w:color w:val="000000"/>
          <w:sz w:val="28"/>
          <w:szCs w:val="28"/>
        </w:rPr>
        <w:t>公共学位课和公共选修课完全由本校教师完成，专业学位课程与专业选修课程则由校内外教师共同承担，校内教师参与授课比例保持在65%以上；校外教师参与授课比例保持在30%以上。校外教师通过课程专题、讲座、指导实习实践、毕业论文指导等方式承担培养任务。</w:t>
      </w:r>
    </w:p>
    <w:p>
      <w:pPr>
        <w:pStyle w:val="19"/>
        <w:snapToGrid w:val="0"/>
        <w:spacing w:line="360" w:lineRule="auto"/>
        <w:ind w:firstLine="560" w:firstLineChars="200"/>
        <w:rPr>
          <w:rFonts w:ascii="宋体" w:hAnsi="宋体" w:cs="宋体"/>
          <w:sz w:val="28"/>
          <w:szCs w:val="28"/>
        </w:rPr>
      </w:pPr>
      <w:r>
        <w:rPr>
          <w:rFonts w:hint="eastAsia" w:ascii="宋体" w:hAnsi="宋体" w:cs="宋体"/>
          <w:color w:val="000000"/>
          <w:sz w:val="28"/>
          <w:szCs w:val="28"/>
        </w:rPr>
        <w:t>本学位点设置三个培养方向带头人，依托两位学术带头人，以“传帮带”的形式加大对年轻教师的培养。税收政策与管理方向，方向带头人为赵国春教授，博士生导师，中国税收教育研究会常务理事、新疆税务学会副会长、自治区专家顾问团专家。国际税收方向，方向带头人为周莉教授，中国注册税务师，中国税务教育研究会理事。税收筹划与管理方向，</w:t>
      </w:r>
      <w:r>
        <w:rPr>
          <w:rFonts w:hint="eastAsia" w:ascii="宋体" w:hAnsi="宋体" w:cs="宋体"/>
          <w:sz w:val="28"/>
          <w:szCs w:val="28"/>
        </w:rPr>
        <w:t>方向带头人贾亚男教授，中国财政教学研究会理事，自治区专家顾问团专家、新疆国际工程咨询公司专家库专家。</w:t>
      </w:r>
    </w:p>
    <w:p>
      <w:pPr>
        <w:pStyle w:val="19"/>
        <w:snapToGrid w:val="0"/>
        <w:spacing w:line="360" w:lineRule="auto"/>
        <w:ind w:firstLine="560" w:firstLineChars="200"/>
        <w:rPr>
          <w:rFonts w:ascii="宋体" w:hAnsi="宋体" w:cs="宋体"/>
          <w:sz w:val="28"/>
          <w:szCs w:val="28"/>
        </w:rPr>
      </w:pPr>
      <w:r>
        <w:rPr>
          <w:rFonts w:ascii="宋体" w:hAnsi="宋体" w:cs="宋体"/>
          <w:color w:val="000000"/>
          <w:sz w:val="28"/>
          <w:szCs w:val="28"/>
        </w:rPr>
        <w:t>加大“双师型”教师尤其是青年“双师型”教师的培养</w:t>
      </w:r>
      <w:r>
        <w:rPr>
          <w:rFonts w:hint="eastAsia" w:ascii="宋体" w:hAnsi="宋体" w:cs="宋体"/>
          <w:color w:val="000000"/>
          <w:sz w:val="28"/>
          <w:szCs w:val="28"/>
        </w:rPr>
        <w:t>。</w:t>
      </w:r>
      <w:r>
        <w:rPr>
          <w:rFonts w:ascii="宋体" w:hAnsi="宋体" w:cs="宋体"/>
          <w:color w:val="000000"/>
          <w:sz w:val="28"/>
          <w:szCs w:val="28"/>
        </w:rPr>
        <w:t>培养“双师型”教师是本学位点主要工作之一。现有专业教师中双师型教师占比 48.28%。加大教师培养力度</w:t>
      </w:r>
      <w:r>
        <w:rPr>
          <w:rFonts w:hint="eastAsia" w:ascii="宋体" w:hAnsi="宋体" w:cs="宋体"/>
          <w:color w:val="000000"/>
          <w:sz w:val="28"/>
          <w:szCs w:val="28"/>
        </w:rPr>
        <w:t>，</w:t>
      </w:r>
      <w:r>
        <w:rPr>
          <w:rFonts w:ascii="宋体" w:hAnsi="宋体" w:cs="宋体"/>
          <w:color w:val="000000"/>
          <w:sz w:val="28"/>
          <w:szCs w:val="28"/>
        </w:rPr>
        <w:t>选派本学位点任课教师参加全国税务专业硕士教职委召开的年度师资培训及其他相关学术活动</w:t>
      </w:r>
      <w:r>
        <w:rPr>
          <w:rFonts w:ascii="宋体" w:hAnsi="宋体" w:cs="宋体"/>
          <w:sz w:val="28"/>
          <w:szCs w:val="28"/>
        </w:rPr>
        <w:t xml:space="preserve"> </w:t>
      </w:r>
      <w:r>
        <w:rPr>
          <w:rFonts w:hint="eastAsia" w:ascii="宋体" w:hAnsi="宋体" w:cs="宋体"/>
          <w:sz w:val="28"/>
          <w:szCs w:val="28"/>
        </w:rPr>
        <w:t>11</w:t>
      </w:r>
      <w:r>
        <w:rPr>
          <w:rFonts w:ascii="宋体" w:hAnsi="宋体" w:cs="宋体"/>
          <w:sz w:val="28"/>
          <w:szCs w:val="28"/>
        </w:rPr>
        <w:t>人次。</w:t>
      </w:r>
    </w:p>
    <w:p>
      <w:pPr>
        <w:ind w:firstLine="562" w:firstLineChars="200"/>
        <w:jc w:val="left"/>
        <w:outlineLvl w:val="1"/>
        <w:rPr>
          <w:rFonts w:ascii="黑体" w:hAnsi="黑体" w:eastAsia="黑体" w:cs="黑体"/>
          <w:sz w:val="32"/>
          <w:szCs w:val="32"/>
        </w:rPr>
      </w:pPr>
      <w:bookmarkStart w:id="42" w:name="_Toc20097"/>
      <w:bookmarkStart w:id="43" w:name="_Toc31190"/>
      <w:r>
        <w:rPr>
          <w:rFonts w:hint="eastAsia" w:ascii="宋体" w:hAnsi="宋体" w:cs="宋体"/>
          <w:b/>
          <w:bCs/>
          <w:color w:val="000000"/>
          <w:kern w:val="0"/>
          <w:sz w:val="28"/>
          <w:szCs w:val="28"/>
        </w:rPr>
        <w:t>（三）</w:t>
      </w:r>
      <w:r>
        <w:rPr>
          <w:rFonts w:ascii="宋体" w:hAnsi="宋体" w:cs="宋体"/>
          <w:b/>
          <w:bCs/>
          <w:color w:val="000000"/>
          <w:kern w:val="0"/>
          <w:sz w:val="28"/>
          <w:szCs w:val="28"/>
        </w:rPr>
        <w:t>科学研究</w:t>
      </w:r>
      <w:bookmarkEnd w:id="42"/>
      <w:bookmarkEnd w:id="43"/>
    </w:p>
    <w:p>
      <w:pPr>
        <w:pStyle w:val="19"/>
        <w:snapToGrid w:val="0"/>
        <w:spacing w:line="360" w:lineRule="auto"/>
        <w:ind w:firstLine="560" w:firstLineChars="200"/>
        <w:rPr>
          <w:rFonts w:ascii="宋体" w:hAnsi="宋体" w:cs="宋体"/>
          <w:color w:val="000000"/>
          <w:sz w:val="28"/>
          <w:szCs w:val="28"/>
        </w:rPr>
      </w:pPr>
      <w:r>
        <w:rPr>
          <w:rFonts w:ascii="宋体" w:hAnsi="宋体" w:cs="宋体"/>
          <w:color w:val="000000"/>
          <w:sz w:val="28"/>
          <w:szCs w:val="28"/>
        </w:rPr>
        <w:t xml:space="preserve">本学位点评估期内共完成各级各类课题 </w:t>
      </w:r>
      <w:r>
        <w:rPr>
          <w:rFonts w:hint="eastAsia" w:ascii="宋体" w:hAnsi="宋体" w:cs="宋体"/>
          <w:color w:val="000000"/>
          <w:sz w:val="28"/>
          <w:szCs w:val="28"/>
        </w:rPr>
        <w:t>8</w:t>
      </w:r>
      <w:r>
        <w:rPr>
          <w:rFonts w:ascii="宋体" w:hAnsi="宋体" w:cs="宋体"/>
          <w:color w:val="000000"/>
          <w:sz w:val="28"/>
          <w:szCs w:val="28"/>
        </w:rPr>
        <w:t>项，涉及财税改革与区域经济社会发展各方面</w:t>
      </w:r>
      <w:r>
        <w:rPr>
          <w:rFonts w:hint="eastAsia" w:ascii="宋体" w:hAnsi="宋体" w:cs="宋体"/>
          <w:color w:val="000000"/>
          <w:sz w:val="28"/>
          <w:szCs w:val="28"/>
        </w:rPr>
        <w:t>，研究成果水平逐年提高，影响力显著提升</w:t>
      </w:r>
      <w:r>
        <w:rPr>
          <w:rFonts w:ascii="宋体" w:hAnsi="宋体" w:cs="宋体"/>
          <w:color w:val="000000"/>
          <w:sz w:val="28"/>
          <w:szCs w:val="28"/>
        </w:rPr>
        <w:t>。通过吸纳学生参与项目研究，并将成果应用于课堂教学、指导毕业论文选题，学生应用能力得到有效提升。</w:t>
      </w:r>
    </w:p>
    <w:p>
      <w:pPr>
        <w:pStyle w:val="19"/>
        <w:snapToGrid w:val="0"/>
        <w:spacing w:line="360" w:lineRule="auto"/>
        <w:ind w:firstLine="560" w:firstLineChars="200"/>
        <w:rPr>
          <w:rFonts w:ascii="宋体" w:hAnsi="宋体" w:cs="宋体"/>
          <w:color w:val="000000"/>
          <w:sz w:val="28"/>
          <w:szCs w:val="28"/>
          <w:lang w:val="zh-TW"/>
        </w:rPr>
      </w:pPr>
      <w:r>
        <w:rPr>
          <w:rFonts w:hint="eastAsia" w:ascii="宋体" w:hAnsi="宋体" w:cs="宋体"/>
          <w:color w:val="000000"/>
          <w:sz w:val="28"/>
          <w:szCs w:val="28"/>
        </w:rPr>
        <w:t>2021</w:t>
      </w:r>
      <w:r>
        <w:rPr>
          <w:rFonts w:hint="eastAsia" w:ascii="宋体" w:hAnsi="宋体" w:cs="宋体"/>
          <w:color w:val="000000"/>
          <w:sz w:val="28"/>
          <w:szCs w:val="28"/>
          <w:lang w:val="zh-TW" w:eastAsia="zh-TW"/>
        </w:rPr>
        <w:t>年</w:t>
      </w:r>
      <w:r>
        <w:rPr>
          <w:rFonts w:hint="eastAsia" w:ascii="宋体" w:hAnsi="宋体" w:cs="宋体"/>
          <w:color w:val="000000"/>
          <w:sz w:val="28"/>
          <w:szCs w:val="28"/>
          <w:lang w:val="zh-TW"/>
        </w:rPr>
        <w:t>，本学位点接受各级税务局委托</w:t>
      </w:r>
      <w:r>
        <w:rPr>
          <w:rFonts w:hint="eastAsia" w:ascii="宋体" w:hAnsi="宋体" w:cs="宋体"/>
          <w:color w:val="000000"/>
          <w:sz w:val="28"/>
          <w:szCs w:val="28"/>
          <w:lang w:val="zh-TW" w:eastAsia="zh-TW"/>
        </w:rPr>
        <w:t>科研</w:t>
      </w:r>
      <w:r>
        <w:rPr>
          <w:rFonts w:hint="eastAsia" w:ascii="宋体" w:hAnsi="宋体" w:cs="宋体"/>
          <w:color w:val="000000"/>
          <w:sz w:val="28"/>
          <w:szCs w:val="28"/>
          <w:lang w:val="zh-TW"/>
        </w:rPr>
        <w:t>项目共</w:t>
      </w:r>
      <w:r>
        <w:rPr>
          <w:rFonts w:hint="eastAsia" w:ascii="宋体" w:hAnsi="宋体" w:cs="宋体"/>
          <w:color w:val="000000"/>
          <w:sz w:val="28"/>
          <w:szCs w:val="28"/>
        </w:rPr>
        <w:t>8</w:t>
      </w:r>
      <w:r>
        <w:rPr>
          <w:rFonts w:hint="eastAsia" w:ascii="宋体" w:hAnsi="宋体" w:cs="宋体"/>
          <w:color w:val="000000"/>
          <w:sz w:val="28"/>
          <w:szCs w:val="28"/>
          <w:lang w:val="zh-TW" w:eastAsia="zh-TW"/>
        </w:rPr>
        <w:t>项，科研经费</w:t>
      </w:r>
      <w:r>
        <w:rPr>
          <w:rFonts w:hint="eastAsia" w:ascii="宋体" w:hAnsi="宋体" w:cs="宋体"/>
          <w:color w:val="000000"/>
          <w:sz w:val="28"/>
          <w:szCs w:val="28"/>
        </w:rPr>
        <w:t>44</w:t>
      </w:r>
      <w:r>
        <w:rPr>
          <w:rFonts w:hint="eastAsia" w:ascii="宋体" w:hAnsi="宋体" w:cs="宋体"/>
          <w:color w:val="000000"/>
          <w:sz w:val="28"/>
          <w:szCs w:val="28"/>
          <w:lang w:val="zh-TW" w:eastAsia="zh-TW"/>
        </w:rPr>
        <w:t>万元</w:t>
      </w:r>
      <w:r>
        <w:rPr>
          <w:rFonts w:hint="eastAsia" w:ascii="宋体" w:hAnsi="宋体" w:cs="宋体"/>
          <w:color w:val="000000"/>
          <w:sz w:val="28"/>
          <w:szCs w:val="28"/>
          <w:lang w:val="zh-TW"/>
        </w:rPr>
        <w:t>。公开</w:t>
      </w:r>
      <w:r>
        <w:rPr>
          <w:rFonts w:hint="eastAsia" w:ascii="宋体" w:hAnsi="宋体" w:cs="宋体"/>
          <w:color w:val="000000"/>
          <w:sz w:val="28"/>
          <w:szCs w:val="28"/>
          <w:lang w:val="zh-TW" w:eastAsia="zh-TW"/>
        </w:rPr>
        <w:t>发表各类论文</w:t>
      </w:r>
      <w:r>
        <w:rPr>
          <w:rFonts w:hint="eastAsia" w:ascii="宋体" w:hAnsi="宋体" w:cs="宋体"/>
          <w:color w:val="000000"/>
          <w:sz w:val="28"/>
          <w:szCs w:val="28"/>
          <w:lang w:val="zh-TW"/>
        </w:rPr>
        <w:t>和咨政报告</w:t>
      </w:r>
      <w:r>
        <w:rPr>
          <w:rFonts w:hint="eastAsia" w:ascii="宋体" w:hAnsi="宋体" w:cs="宋体"/>
          <w:color w:val="000000"/>
          <w:sz w:val="28"/>
          <w:szCs w:val="28"/>
        </w:rPr>
        <w:t>8</w:t>
      </w:r>
      <w:r>
        <w:rPr>
          <w:rFonts w:hint="eastAsia" w:ascii="宋体" w:hAnsi="宋体" w:cs="宋体"/>
          <w:color w:val="000000"/>
          <w:sz w:val="28"/>
          <w:szCs w:val="28"/>
          <w:lang w:val="zh-TW" w:eastAsia="zh-TW"/>
        </w:rPr>
        <w:t>篇</w:t>
      </w:r>
      <w:r>
        <w:rPr>
          <w:rFonts w:hint="eastAsia" w:ascii="宋体" w:hAnsi="宋体" w:cs="宋体"/>
          <w:color w:val="000000"/>
          <w:sz w:val="28"/>
          <w:szCs w:val="28"/>
          <w:lang w:val="zh-TW"/>
        </w:rPr>
        <w:t>，</w:t>
      </w:r>
      <w:r>
        <w:rPr>
          <w:rFonts w:hint="eastAsia" w:ascii="宋体" w:hAnsi="宋体" w:cs="宋体"/>
          <w:color w:val="000000"/>
          <w:sz w:val="28"/>
          <w:szCs w:val="28"/>
        </w:rPr>
        <w:t>出版著作1部</w:t>
      </w:r>
      <w:r>
        <w:rPr>
          <w:rFonts w:hint="eastAsia" w:ascii="宋体" w:hAnsi="宋体" w:cs="宋体"/>
          <w:color w:val="000000"/>
          <w:sz w:val="28"/>
          <w:szCs w:val="28"/>
          <w:lang w:val="zh-TW"/>
        </w:rPr>
        <w:t>。</w:t>
      </w:r>
    </w:p>
    <w:p>
      <w:pPr>
        <w:pStyle w:val="19"/>
        <w:snapToGrid w:val="0"/>
        <w:spacing w:line="360" w:lineRule="auto"/>
        <w:ind w:firstLine="560" w:firstLineChars="200"/>
        <w:rPr>
          <w:rFonts w:ascii="宋体" w:hAnsi="宋体" w:cs="宋体"/>
          <w:color w:val="000000"/>
          <w:sz w:val="28"/>
          <w:szCs w:val="28"/>
          <w:highlight w:val="yellow"/>
        </w:rPr>
      </w:pPr>
      <w:r>
        <w:rPr>
          <w:rFonts w:hint="eastAsia" w:ascii="宋体" w:hAnsi="宋体" w:cs="宋体"/>
          <w:color w:val="000000"/>
          <w:sz w:val="28"/>
          <w:szCs w:val="28"/>
          <w:lang w:val="zh-TW" w:eastAsia="zh-TW"/>
        </w:rPr>
        <w:t>科研获奖方面，</w:t>
      </w:r>
      <w:r>
        <w:rPr>
          <w:rFonts w:hint="eastAsia" w:ascii="宋体" w:hAnsi="宋体" w:cs="宋体"/>
          <w:color w:val="000000"/>
          <w:sz w:val="28"/>
          <w:szCs w:val="28"/>
        </w:rPr>
        <w:t>闫杰老师发表的论文《扶贫小额信贷、农户收入与反贫困绩效》，获得新疆财经大学第十三届哲学社会科学奖二等奖。</w:t>
      </w:r>
    </w:p>
    <w:p>
      <w:pPr>
        <w:pStyle w:val="5"/>
        <w:tabs>
          <w:tab w:val="left" w:pos="840"/>
        </w:tabs>
        <w:spacing w:line="360" w:lineRule="auto"/>
        <w:ind w:left="562" w:firstLine="0"/>
        <w:rPr>
          <w:rFonts w:ascii="宋体" w:hAnsi="宋体" w:eastAsia="宋体" w:cs="宋体"/>
          <w:b/>
          <w:bCs/>
          <w:sz w:val="28"/>
          <w:szCs w:val="28"/>
          <w:lang w:val="zh-TW" w:eastAsia="zh-TW"/>
        </w:rPr>
      </w:pPr>
      <w:bookmarkStart w:id="44" w:name="_Toc17315"/>
      <w:bookmarkStart w:id="45" w:name="_Toc13634"/>
      <w:r>
        <w:rPr>
          <w:rFonts w:hint="eastAsia" w:ascii="宋体" w:hAnsi="宋体" w:eastAsia="宋体" w:cs="宋体"/>
          <w:b/>
          <w:bCs/>
          <w:kern w:val="0"/>
          <w:sz w:val="28"/>
          <w:szCs w:val="28"/>
        </w:rPr>
        <w:t>（四）</w:t>
      </w:r>
      <w:r>
        <w:rPr>
          <w:rFonts w:hint="eastAsia" w:ascii="宋体" w:hAnsi="宋体" w:eastAsia="宋体" w:cs="宋体"/>
          <w:b/>
          <w:bCs/>
          <w:sz w:val="28"/>
          <w:szCs w:val="28"/>
          <w:lang w:val="zh-TW" w:eastAsia="zh-TW"/>
        </w:rPr>
        <w:t>国际合作交流等方面的改革创新情况</w:t>
      </w:r>
      <w:bookmarkEnd w:id="44"/>
      <w:bookmarkEnd w:id="45"/>
    </w:p>
    <w:p>
      <w:pPr>
        <w:pStyle w:val="19"/>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2021年</w:t>
      </w:r>
      <w:r>
        <w:rPr>
          <w:rFonts w:hint="eastAsia" w:ascii="宋体" w:hAnsi="宋体" w:cs="宋体"/>
          <w:color w:val="000000"/>
          <w:sz w:val="28"/>
          <w:szCs w:val="28"/>
          <w:lang w:val="zh-TW" w:eastAsia="zh-TW"/>
        </w:rPr>
        <w:t>由于新冠疫情影响，线下学术交流受到了极大影响，国际交流基本停滞</w:t>
      </w:r>
      <w:r>
        <w:rPr>
          <w:rFonts w:hint="eastAsia" w:ascii="宋体" w:hAnsi="宋体" w:cs="宋体"/>
          <w:color w:val="000000"/>
          <w:sz w:val="28"/>
          <w:szCs w:val="28"/>
          <w:lang w:val="zh-TW"/>
        </w:rPr>
        <w:t>。但</w:t>
      </w:r>
      <w:r>
        <w:rPr>
          <w:rFonts w:hint="eastAsia" w:ascii="宋体" w:hAnsi="宋体" w:cs="宋体"/>
          <w:color w:val="000000"/>
          <w:sz w:val="28"/>
          <w:szCs w:val="28"/>
        </w:rPr>
        <w:t>本学位点</w:t>
      </w:r>
      <w:r>
        <w:rPr>
          <w:rFonts w:hint="eastAsia" w:ascii="宋体" w:hAnsi="宋体" w:cs="宋体"/>
          <w:color w:val="000000"/>
          <w:sz w:val="28"/>
          <w:szCs w:val="28"/>
          <w:lang w:val="zh-CN"/>
        </w:rPr>
        <w:t>积极拓广其他渠道，采取线下</w:t>
      </w:r>
      <w:r>
        <w:rPr>
          <w:rFonts w:hint="eastAsia" w:ascii="宋体" w:hAnsi="宋体" w:cs="宋体"/>
          <w:color w:val="000000"/>
          <w:sz w:val="28"/>
          <w:szCs w:val="28"/>
          <w:lang w:val="zh-TW" w:eastAsia="zh-TW"/>
        </w:rPr>
        <w:t>线上</w:t>
      </w:r>
      <w:r>
        <w:rPr>
          <w:rFonts w:hint="eastAsia" w:ascii="宋体" w:hAnsi="宋体" w:cs="宋体"/>
          <w:color w:val="000000"/>
          <w:sz w:val="28"/>
          <w:szCs w:val="28"/>
          <w:lang w:val="zh-CN"/>
        </w:rPr>
        <w:t>相结合形式，</w:t>
      </w:r>
      <w:r>
        <w:rPr>
          <w:rFonts w:hint="eastAsia" w:ascii="宋体" w:hAnsi="宋体" w:cs="宋体"/>
          <w:color w:val="000000"/>
          <w:sz w:val="28"/>
          <w:szCs w:val="28"/>
          <w:lang w:val="zh-TW" w:eastAsia="zh-TW"/>
        </w:rPr>
        <w:t>邀请</w:t>
      </w:r>
      <w:r>
        <w:rPr>
          <w:rFonts w:hint="eastAsia" w:ascii="宋体" w:hAnsi="宋体" w:cs="宋体"/>
          <w:color w:val="000000"/>
          <w:sz w:val="28"/>
          <w:szCs w:val="28"/>
        </w:rPr>
        <w:t>疆内外</w:t>
      </w:r>
      <w:r>
        <w:rPr>
          <w:rFonts w:hint="eastAsia" w:ascii="宋体" w:hAnsi="宋体" w:cs="宋体"/>
          <w:color w:val="000000"/>
          <w:sz w:val="28"/>
          <w:szCs w:val="28"/>
          <w:lang w:val="zh-TW" w:eastAsia="zh-TW"/>
        </w:rPr>
        <w:t>专家</w:t>
      </w:r>
      <w:r>
        <w:rPr>
          <w:rFonts w:hint="eastAsia" w:ascii="宋体" w:hAnsi="宋体" w:cs="宋体"/>
          <w:color w:val="000000"/>
          <w:sz w:val="28"/>
          <w:szCs w:val="28"/>
        </w:rPr>
        <w:t>进行</w:t>
      </w:r>
      <w:r>
        <w:rPr>
          <w:rFonts w:hint="eastAsia" w:ascii="宋体" w:hAnsi="宋体" w:cs="宋体"/>
          <w:color w:val="000000"/>
          <w:sz w:val="28"/>
          <w:szCs w:val="28"/>
          <w:lang w:val="zh-TW" w:eastAsia="zh-TW"/>
        </w:rPr>
        <w:t>线上学术交</w:t>
      </w:r>
      <w:r>
        <w:rPr>
          <w:rFonts w:hint="eastAsia" w:ascii="宋体" w:hAnsi="宋体" w:cs="宋体"/>
          <w:color w:val="000000"/>
          <w:sz w:val="28"/>
          <w:szCs w:val="28"/>
          <w:highlight w:val="none"/>
          <w:lang w:val="zh-TW" w:eastAsia="zh-TW"/>
        </w:rPr>
        <w:t>流</w:t>
      </w:r>
      <w:r>
        <w:rPr>
          <w:rFonts w:hint="eastAsia" w:ascii="宋体" w:hAnsi="宋体" w:cs="宋体"/>
          <w:color w:val="000000"/>
          <w:sz w:val="28"/>
          <w:szCs w:val="28"/>
          <w:highlight w:val="none"/>
        </w:rPr>
        <w:t>讲座</w:t>
      </w:r>
      <w:r>
        <w:rPr>
          <w:rFonts w:hint="eastAsia" w:ascii="宋体" w:hAnsi="宋体" w:cs="宋体"/>
          <w:sz w:val="28"/>
          <w:szCs w:val="28"/>
          <w:highlight w:val="none"/>
        </w:rPr>
        <w:t>36场，</w:t>
      </w:r>
      <w:r>
        <w:rPr>
          <w:rFonts w:hint="eastAsia" w:ascii="宋体" w:hAnsi="宋体" w:cs="宋体"/>
          <w:sz w:val="28"/>
          <w:szCs w:val="28"/>
        </w:rPr>
        <w:t>大幅度增加了线上学术交流，</w:t>
      </w:r>
      <w:r>
        <w:rPr>
          <w:rFonts w:hint="eastAsia" w:ascii="宋体" w:hAnsi="宋体" w:cs="宋体"/>
          <w:color w:val="000000"/>
          <w:sz w:val="28"/>
          <w:szCs w:val="28"/>
          <w:lang w:val="zh-CN"/>
        </w:rPr>
        <w:t>没有因新冠疫情对学术交流产生影响。</w:t>
      </w:r>
    </w:p>
    <w:p>
      <w:pPr>
        <w:ind w:firstLine="560" w:firstLineChars="200"/>
        <w:jc w:val="left"/>
        <w:outlineLvl w:val="0"/>
        <w:rPr>
          <w:rFonts w:ascii="黑体" w:hAnsi="黑体" w:eastAsia="黑体" w:cs="黑体"/>
          <w:sz w:val="32"/>
          <w:szCs w:val="32"/>
        </w:rPr>
      </w:pPr>
      <w:bookmarkStart w:id="46" w:name="_Toc6750"/>
      <w:bookmarkStart w:id="47" w:name="_Toc3874"/>
      <w:r>
        <w:rPr>
          <w:rFonts w:ascii="黑体" w:hAnsi="黑体" w:eastAsia="黑体"/>
          <w:sz w:val="28"/>
          <w:szCs w:val="28"/>
        </w:rPr>
        <w:t>五、教育质量评估与分析</w:t>
      </w:r>
      <w:bookmarkEnd w:id="46"/>
      <w:bookmarkEnd w:id="47"/>
    </w:p>
    <w:p>
      <w:pPr>
        <w:pStyle w:val="19"/>
        <w:snapToGrid w:val="0"/>
        <w:spacing w:line="360" w:lineRule="auto"/>
        <w:ind w:firstLine="560" w:firstLineChars="200"/>
        <w:rPr>
          <w:rFonts w:ascii="宋体" w:hAnsi="宋体" w:cs="宋体"/>
          <w:color w:val="000000"/>
          <w:sz w:val="28"/>
          <w:szCs w:val="28"/>
          <w:lang w:val="zh-TW" w:eastAsia="zh-TW"/>
        </w:rPr>
      </w:pPr>
      <w:r>
        <w:rPr>
          <w:rFonts w:ascii="宋体" w:hAnsi="宋体" w:cs="宋体"/>
          <w:color w:val="000000"/>
          <w:sz w:val="28"/>
          <w:szCs w:val="28"/>
        </w:rPr>
        <w:t>学科自我评估进展及问题分析，学位论文抽检情况及问题分析。</w:t>
      </w:r>
    </w:p>
    <w:p>
      <w:pPr>
        <w:pStyle w:val="19"/>
        <w:snapToGrid w:val="0"/>
        <w:spacing w:line="360" w:lineRule="auto"/>
        <w:ind w:firstLine="562" w:firstLineChars="200"/>
        <w:outlineLvl w:val="1"/>
        <w:rPr>
          <w:rFonts w:ascii="宋体" w:hAnsi="宋体" w:cs="宋体"/>
          <w:color w:val="000000"/>
          <w:sz w:val="28"/>
          <w:szCs w:val="28"/>
        </w:rPr>
      </w:pPr>
      <w:bookmarkStart w:id="48" w:name="_Toc20283"/>
      <w:bookmarkStart w:id="49" w:name="_Toc9865"/>
      <w:r>
        <w:rPr>
          <w:rFonts w:hint="eastAsia" w:ascii="宋体" w:hAnsi="宋体" w:cs="宋体"/>
          <w:b/>
          <w:bCs/>
          <w:color w:val="000000"/>
          <w:sz w:val="28"/>
          <w:szCs w:val="28"/>
        </w:rPr>
        <w:t>（一）评估进展及问题分析</w:t>
      </w:r>
      <w:bookmarkEnd w:id="48"/>
      <w:bookmarkEnd w:id="49"/>
    </w:p>
    <w:p>
      <w:pPr>
        <w:pStyle w:val="19"/>
        <w:snapToGrid w:val="0"/>
        <w:spacing w:line="360" w:lineRule="auto"/>
        <w:ind w:firstLine="560" w:firstLineChars="200"/>
        <w:rPr>
          <w:rFonts w:ascii="宋体" w:hAnsi="宋体" w:cs="宋体"/>
          <w:sz w:val="28"/>
          <w:szCs w:val="28"/>
        </w:rPr>
      </w:pPr>
      <w:r>
        <w:rPr>
          <w:rFonts w:hint="eastAsia" w:ascii="宋体" w:hAnsi="宋体" w:cs="宋体"/>
          <w:color w:val="000000"/>
          <w:sz w:val="28"/>
          <w:szCs w:val="28"/>
        </w:rPr>
        <w:t>在学校层面，成立了由学校主管副校长、研究生处长、学院院长等构成的学位点自我评估领导小组；在学院层面上，成立了由学院院长、研究生主管副院长、方向带头人、税务专硕导师组、研究生秘书等构成的学院学位</w:t>
      </w:r>
      <w:r>
        <w:rPr>
          <w:rFonts w:hint="eastAsia" w:ascii="宋体" w:hAnsi="宋体" w:cs="宋体"/>
          <w:sz w:val="28"/>
          <w:szCs w:val="28"/>
        </w:rPr>
        <w:t>点评估工作小组，具体负责组织实施学位点的评估。</w:t>
      </w:r>
    </w:p>
    <w:p>
      <w:pPr>
        <w:pStyle w:val="19"/>
        <w:snapToGrid w:val="0"/>
        <w:spacing w:line="360" w:lineRule="auto"/>
        <w:ind w:firstLine="560" w:firstLineChars="200"/>
        <w:rPr>
          <w:rFonts w:ascii="宋体" w:hAnsi="宋体" w:cs="宋体"/>
          <w:sz w:val="28"/>
          <w:szCs w:val="28"/>
        </w:rPr>
      </w:pPr>
      <w:r>
        <w:rPr>
          <w:rFonts w:hint="eastAsia" w:ascii="宋体" w:hAnsi="宋体" w:cs="宋体"/>
          <w:sz w:val="28"/>
          <w:szCs w:val="28"/>
        </w:rPr>
        <w:t>自我评估结果如下：本学位点在师资队伍建设、人才培养体系、课程建设体系、教学条件保障等方面有了长足进步，但还存在一定短板：一是校内教师的实践经验不足，受疫情和校园封闭式管理的影响，校内外导师的交流有所减少，校外导师主要采取线上授课的方式，授课的效果没有线下效果好；二是招生宣传的力度和广度有待进一步加强，第一志愿上线考生少，主要是校内保研和疆外调剂的生源，招录更多优秀学生，才能更好地满足新疆社会经济发展的税务高级人才需要。</w:t>
      </w:r>
    </w:p>
    <w:p>
      <w:pPr>
        <w:pStyle w:val="19"/>
        <w:snapToGrid w:val="0"/>
        <w:spacing w:line="360" w:lineRule="auto"/>
        <w:ind w:firstLine="562" w:firstLineChars="200"/>
        <w:outlineLvl w:val="1"/>
        <w:rPr>
          <w:rFonts w:ascii="宋体" w:hAnsi="宋体" w:cs="宋体"/>
          <w:sz w:val="28"/>
          <w:szCs w:val="28"/>
        </w:rPr>
      </w:pPr>
      <w:bookmarkStart w:id="50" w:name="_Toc13095"/>
      <w:bookmarkStart w:id="51" w:name="_Toc21747"/>
      <w:r>
        <w:rPr>
          <w:rFonts w:hint="eastAsia" w:ascii="宋体" w:hAnsi="宋体" w:cs="宋体"/>
          <w:b/>
          <w:bCs/>
          <w:sz w:val="28"/>
          <w:szCs w:val="28"/>
        </w:rPr>
        <w:t>（二）学位论文抽检情况</w:t>
      </w:r>
      <w:bookmarkEnd w:id="50"/>
      <w:bookmarkEnd w:id="51"/>
    </w:p>
    <w:p>
      <w:pPr>
        <w:pStyle w:val="19"/>
        <w:snapToGrid w:val="0"/>
        <w:spacing w:line="360" w:lineRule="auto"/>
        <w:ind w:firstLine="560" w:firstLineChars="200"/>
        <w:rPr>
          <w:rFonts w:ascii="宋体" w:hAnsi="宋体" w:cs="宋体"/>
          <w:sz w:val="28"/>
          <w:szCs w:val="28"/>
          <w:highlight w:val="yellow"/>
          <w:lang w:val="zh-CN"/>
        </w:rPr>
      </w:pPr>
      <w:r>
        <w:rPr>
          <w:rFonts w:hint="eastAsia" w:ascii="宋体" w:hAnsi="宋体" w:cs="宋体"/>
          <w:sz w:val="28"/>
          <w:szCs w:val="28"/>
        </w:rPr>
        <w:t>2021</w:t>
      </w:r>
      <w:r>
        <w:rPr>
          <w:rFonts w:hint="eastAsia" w:ascii="宋体" w:hAnsi="宋体" w:cs="宋体"/>
          <w:sz w:val="28"/>
          <w:szCs w:val="28"/>
          <w:lang w:val="zh-TW" w:eastAsia="zh-TW"/>
        </w:rPr>
        <w:t>年度由国家、</w:t>
      </w:r>
      <w:r>
        <w:rPr>
          <w:rFonts w:hint="eastAsia" w:ascii="宋体" w:hAnsi="宋体" w:cs="宋体"/>
          <w:sz w:val="28"/>
          <w:szCs w:val="28"/>
        </w:rPr>
        <w:t>新疆维吾尔自治区</w:t>
      </w:r>
      <w:r>
        <w:rPr>
          <w:rFonts w:hint="eastAsia" w:ascii="宋体" w:hAnsi="宋体" w:cs="宋体"/>
          <w:sz w:val="28"/>
          <w:szCs w:val="28"/>
          <w:lang w:val="zh-TW" w:eastAsia="zh-TW"/>
        </w:rPr>
        <w:t>和学校学位办抽查</w:t>
      </w:r>
      <w:r>
        <w:rPr>
          <w:rFonts w:hint="eastAsia" w:ascii="宋体" w:hAnsi="宋体" w:cs="宋体"/>
          <w:sz w:val="28"/>
          <w:szCs w:val="28"/>
        </w:rPr>
        <w:t>的</w:t>
      </w:r>
      <w:r>
        <w:rPr>
          <w:rFonts w:hint="eastAsia" w:ascii="宋体" w:hAnsi="宋体" w:cs="宋体"/>
          <w:sz w:val="28"/>
          <w:szCs w:val="28"/>
          <w:lang w:val="zh-TW" w:eastAsia="zh-TW"/>
        </w:rPr>
        <w:t>本学位授权点学位论文</w:t>
      </w:r>
      <w:r>
        <w:rPr>
          <w:rFonts w:hint="eastAsia" w:ascii="宋体" w:hAnsi="宋体" w:cs="宋体"/>
          <w:sz w:val="28"/>
          <w:szCs w:val="28"/>
          <w:lang w:val="zh-TW"/>
        </w:rPr>
        <w:t>共</w:t>
      </w:r>
      <w:r>
        <w:rPr>
          <w:rFonts w:hint="eastAsia" w:ascii="宋体" w:hAnsi="宋体" w:cs="宋体"/>
          <w:sz w:val="28"/>
          <w:szCs w:val="28"/>
        </w:rPr>
        <w:t>2篇，尚未反馈结果</w:t>
      </w:r>
      <w:r>
        <w:rPr>
          <w:rFonts w:hint="eastAsia" w:ascii="宋体" w:hAnsi="宋体" w:cs="宋体"/>
          <w:sz w:val="28"/>
          <w:szCs w:val="28"/>
          <w:lang w:val="zh-TW" w:eastAsia="zh-TW"/>
        </w:rPr>
        <w:t>。</w:t>
      </w:r>
    </w:p>
    <w:p>
      <w:pPr>
        <w:spacing w:before="93" w:beforeLines="30" w:after="93" w:afterLines="30"/>
        <w:ind w:firstLine="560" w:firstLineChars="200"/>
        <w:outlineLvl w:val="0"/>
        <w:rPr>
          <w:rFonts w:ascii="黑体" w:hAnsi="黑体" w:eastAsia="黑体"/>
          <w:sz w:val="28"/>
          <w:szCs w:val="28"/>
        </w:rPr>
      </w:pPr>
      <w:bookmarkStart w:id="52" w:name="_Toc19228"/>
      <w:bookmarkStart w:id="53" w:name="_Toc14032"/>
      <w:bookmarkStart w:id="54" w:name="_Toc195"/>
      <w:r>
        <w:rPr>
          <w:rFonts w:ascii="黑体" w:hAnsi="黑体" w:eastAsia="黑体"/>
          <w:sz w:val="28"/>
          <w:szCs w:val="28"/>
        </w:rPr>
        <w:t>六、改进措施</w:t>
      </w:r>
      <w:bookmarkEnd w:id="52"/>
      <w:bookmarkEnd w:id="53"/>
      <w:bookmarkEnd w:id="54"/>
    </w:p>
    <w:p>
      <w:pPr>
        <w:pStyle w:val="19"/>
        <w:snapToGrid w:val="0"/>
        <w:spacing w:line="360" w:lineRule="auto"/>
        <w:ind w:firstLine="560" w:firstLineChars="200"/>
        <w:rPr>
          <w:rFonts w:ascii="宋体" w:hAnsi="宋体" w:cs="宋体"/>
          <w:sz w:val="28"/>
          <w:szCs w:val="28"/>
        </w:rPr>
      </w:pPr>
      <w:r>
        <w:rPr>
          <w:rFonts w:ascii="宋体" w:hAnsi="宋体" w:cs="宋体"/>
          <w:sz w:val="28"/>
          <w:szCs w:val="28"/>
        </w:rPr>
        <w:t>针对问题提出改进建议和下一步思路举措。</w:t>
      </w:r>
    </w:p>
    <w:p>
      <w:pPr>
        <w:pStyle w:val="19"/>
        <w:snapToGrid w:val="0"/>
        <w:spacing w:line="360" w:lineRule="auto"/>
        <w:ind w:firstLine="560" w:firstLineChars="200"/>
        <w:rPr>
          <w:rFonts w:ascii="宋体" w:hAnsi="宋体" w:cs="宋体"/>
          <w:sz w:val="28"/>
          <w:szCs w:val="28"/>
        </w:rPr>
      </w:pPr>
      <w:r>
        <w:rPr>
          <w:rFonts w:hint="eastAsia" w:ascii="宋体" w:hAnsi="宋体" w:cs="宋体"/>
          <w:sz w:val="28"/>
          <w:szCs w:val="28"/>
        </w:rPr>
        <w:t>结合</w:t>
      </w:r>
      <w:r>
        <w:rPr>
          <w:rFonts w:ascii="宋体" w:hAnsi="宋体" w:cs="宋体"/>
          <w:sz w:val="28"/>
          <w:szCs w:val="28"/>
        </w:rPr>
        <w:t>自我评估</w:t>
      </w:r>
      <w:r>
        <w:rPr>
          <w:rFonts w:hint="eastAsia" w:ascii="宋体" w:hAnsi="宋体" w:cs="宋体"/>
          <w:sz w:val="28"/>
          <w:szCs w:val="28"/>
        </w:rPr>
        <w:t>的</w:t>
      </w:r>
      <w:r>
        <w:rPr>
          <w:rFonts w:ascii="宋体" w:hAnsi="宋体" w:cs="宋体"/>
          <w:sz w:val="28"/>
          <w:szCs w:val="28"/>
        </w:rPr>
        <w:t>问题</w:t>
      </w:r>
      <w:r>
        <w:rPr>
          <w:rFonts w:hint="eastAsia" w:ascii="宋体" w:hAnsi="宋体" w:cs="宋体"/>
          <w:sz w:val="28"/>
          <w:szCs w:val="28"/>
        </w:rPr>
        <w:t>，今后本学位授权点将从如下几方面持续改进：</w:t>
      </w:r>
    </w:p>
    <w:p>
      <w:pPr>
        <w:pStyle w:val="19"/>
        <w:spacing w:line="360" w:lineRule="auto"/>
        <w:ind w:firstLine="562" w:firstLineChars="200"/>
        <w:outlineLvl w:val="1"/>
        <w:rPr>
          <w:rFonts w:ascii="宋体" w:cs="宋体"/>
          <w:b/>
          <w:bCs/>
          <w:sz w:val="28"/>
          <w:szCs w:val="28"/>
        </w:rPr>
      </w:pPr>
      <w:bookmarkStart w:id="55" w:name="_Toc14525"/>
      <w:bookmarkStart w:id="56" w:name="_Toc516741365"/>
      <w:bookmarkStart w:id="57" w:name="_Toc516226322"/>
      <w:bookmarkStart w:id="58" w:name="_Toc516169414"/>
      <w:bookmarkStart w:id="59" w:name="_Toc22874"/>
      <w:r>
        <w:rPr>
          <w:rFonts w:hint="eastAsia" w:ascii="宋体" w:hAnsi="宋体" w:cs="宋体"/>
          <w:b/>
          <w:bCs/>
          <w:sz w:val="28"/>
          <w:szCs w:val="28"/>
        </w:rPr>
        <w:t>（一）持续加强师资队伍建设</w:t>
      </w:r>
      <w:bookmarkEnd w:id="55"/>
      <w:bookmarkEnd w:id="56"/>
      <w:bookmarkEnd w:id="57"/>
      <w:bookmarkEnd w:id="58"/>
      <w:bookmarkEnd w:id="59"/>
    </w:p>
    <w:p>
      <w:pPr>
        <w:pStyle w:val="19"/>
        <w:snapToGrid w:val="0"/>
        <w:spacing w:line="360" w:lineRule="auto"/>
        <w:ind w:firstLine="560" w:firstLineChars="200"/>
        <w:rPr>
          <w:rFonts w:ascii="宋体" w:hAnsi="宋体" w:cs="宋体"/>
          <w:sz w:val="28"/>
          <w:szCs w:val="28"/>
        </w:rPr>
      </w:pPr>
      <w:r>
        <w:rPr>
          <w:rFonts w:hint="eastAsia" w:ascii="宋体" w:hAnsi="宋体" w:cs="宋体"/>
          <w:sz w:val="28"/>
          <w:szCs w:val="28"/>
        </w:rPr>
        <w:t>为保证学位点应用型人才培养质量，今后将在已有基础上进一步加大师资队伍的培养力度。积极鼓励青年教师获取注册会计师、注册税务师等各种资质，并派遣任课教师在相关实务部门进行实践，结合专业特点加大“双师型”教师培养力度；充分发挥“天山学者”特聘教授专家的作用，提升人才培养质量；积极发挥校外导师的作用，建立稳定的校内外导师与学生的联系机制，不断提高实践性教学的质量。</w:t>
      </w:r>
      <w:bookmarkStart w:id="60" w:name="_Toc516226323"/>
      <w:bookmarkStart w:id="61" w:name="_Toc516169415"/>
    </w:p>
    <w:p>
      <w:pPr>
        <w:pStyle w:val="19"/>
        <w:spacing w:line="360" w:lineRule="auto"/>
        <w:ind w:firstLine="562" w:firstLineChars="200"/>
        <w:outlineLvl w:val="1"/>
        <w:rPr>
          <w:rFonts w:ascii="宋体" w:cs="宋体"/>
          <w:b/>
          <w:bCs/>
          <w:sz w:val="28"/>
          <w:szCs w:val="28"/>
        </w:rPr>
      </w:pPr>
      <w:bookmarkStart w:id="62" w:name="_Toc31402"/>
      <w:bookmarkStart w:id="63" w:name="_Toc516741366"/>
      <w:bookmarkStart w:id="64" w:name="_Toc30711"/>
      <w:r>
        <w:rPr>
          <w:rFonts w:hint="eastAsia" w:ascii="宋体" w:hAnsi="宋体" w:cs="宋体"/>
          <w:b/>
          <w:bCs/>
          <w:sz w:val="28"/>
          <w:szCs w:val="28"/>
        </w:rPr>
        <w:t>（二）强化本学位点的培养特色</w:t>
      </w:r>
      <w:bookmarkEnd w:id="60"/>
      <w:bookmarkEnd w:id="61"/>
      <w:bookmarkEnd w:id="62"/>
      <w:bookmarkEnd w:id="63"/>
      <w:bookmarkEnd w:id="64"/>
    </w:p>
    <w:p>
      <w:pPr>
        <w:pStyle w:val="19"/>
        <w:snapToGrid w:val="0"/>
        <w:spacing w:line="360" w:lineRule="auto"/>
        <w:ind w:firstLine="560" w:firstLineChars="200"/>
        <w:rPr>
          <w:rFonts w:ascii="宋体" w:hAnsi="宋体" w:cs="宋体"/>
          <w:sz w:val="28"/>
          <w:szCs w:val="28"/>
        </w:rPr>
      </w:pPr>
      <w:r>
        <w:rPr>
          <w:rFonts w:hint="eastAsia" w:ascii="宋体" w:hAnsi="宋体" w:cs="宋体"/>
          <w:sz w:val="28"/>
          <w:szCs w:val="28"/>
        </w:rPr>
        <w:t>立足新疆区位优势，加强与自治区财政及税务部门、中央财经大学等单位的联系合作，进一步加强对地方税制和中亚各国税制的研究，突出本学位点的办学特色，为本地区培养急需的税务应用型高级人才服务。</w:t>
      </w:r>
    </w:p>
    <w:p>
      <w:pPr>
        <w:pStyle w:val="19"/>
        <w:spacing w:line="360" w:lineRule="auto"/>
        <w:ind w:firstLine="562" w:firstLineChars="200"/>
        <w:outlineLvl w:val="1"/>
        <w:rPr>
          <w:rFonts w:ascii="宋体" w:hAnsi="宋体" w:cs="宋体"/>
          <w:b/>
          <w:bCs/>
          <w:sz w:val="28"/>
          <w:szCs w:val="28"/>
        </w:rPr>
      </w:pPr>
      <w:bookmarkStart w:id="65" w:name="_Toc516741367"/>
      <w:bookmarkStart w:id="66" w:name="_Toc21109"/>
      <w:bookmarkStart w:id="67" w:name="_Toc11685"/>
      <w:r>
        <w:rPr>
          <w:rFonts w:hint="eastAsia" w:ascii="宋体" w:hAnsi="宋体" w:cs="宋体"/>
          <w:b/>
          <w:bCs/>
          <w:sz w:val="28"/>
          <w:szCs w:val="28"/>
        </w:rPr>
        <w:t>（三）</w:t>
      </w:r>
      <w:bookmarkEnd w:id="65"/>
      <w:r>
        <w:rPr>
          <w:rFonts w:hint="eastAsia" w:ascii="宋体" w:hAnsi="宋体" w:cs="宋体"/>
          <w:b/>
          <w:bCs/>
          <w:sz w:val="28"/>
          <w:szCs w:val="28"/>
        </w:rPr>
        <w:t>多出精品科研、扩大社会影响力</w:t>
      </w:r>
      <w:bookmarkEnd w:id="66"/>
      <w:bookmarkEnd w:id="67"/>
    </w:p>
    <w:p>
      <w:pPr>
        <w:pStyle w:val="19"/>
        <w:snapToGrid w:val="0"/>
        <w:spacing w:line="360" w:lineRule="auto"/>
        <w:ind w:firstLine="560" w:firstLineChars="200"/>
        <w:rPr>
          <w:rFonts w:ascii="宋体" w:hAnsi="宋体" w:cs="宋体"/>
          <w:sz w:val="28"/>
          <w:szCs w:val="28"/>
        </w:rPr>
      </w:pPr>
      <w:bookmarkStart w:id="68" w:name="_Toc516226324"/>
      <w:bookmarkStart w:id="69" w:name="_Toc516741368"/>
      <w:bookmarkStart w:id="70" w:name="_Toc516169416"/>
      <w:r>
        <w:rPr>
          <w:rFonts w:hint="eastAsia" w:ascii="宋体" w:hAnsi="宋体" w:cs="宋体"/>
          <w:sz w:val="28"/>
          <w:szCs w:val="28"/>
        </w:rPr>
        <w:t>发挥专业优势、聚焦社会需求，关注税制改革实践及影响，将研究做在新疆大地上。在稳步增加科研项目数量的基础上，发挥团队合力，多出具有较大社会影响力的精品科研，扩大专业社会影响力。为学生提供更多科研训练和实践机会，让学生关注财税改革前沿理论与政策的同时，能运用所学专业知识解决实际问题，更好地服务社会。</w:t>
      </w:r>
    </w:p>
    <w:p>
      <w:pPr>
        <w:pStyle w:val="19"/>
        <w:spacing w:line="360" w:lineRule="auto"/>
        <w:ind w:firstLine="562" w:firstLineChars="200"/>
        <w:outlineLvl w:val="1"/>
        <w:rPr>
          <w:rFonts w:ascii="宋体" w:hAnsi="宋体" w:cs="宋体"/>
          <w:b/>
          <w:bCs/>
          <w:sz w:val="28"/>
          <w:szCs w:val="28"/>
        </w:rPr>
      </w:pPr>
      <w:bookmarkStart w:id="71" w:name="_Toc21589"/>
      <w:bookmarkStart w:id="72" w:name="_Toc14115"/>
      <w:r>
        <w:rPr>
          <w:rFonts w:hint="eastAsia" w:ascii="宋体" w:hAnsi="宋体" w:cs="宋体"/>
          <w:b/>
          <w:bCs/>
          <w:sz w:val="28"/>
          <w:szCs w:val="28"/>
        </w:rPr>
        <w:t>（四）加大招生宣传力度</w:t>
      </w:r>
      <w:bookmarkEnd w:id="68"/>
      <w:bookmarkEnd w:id="69"/>
      <w:bookmarkEnd w:id="70"/>
      <w:bookmarkEnd w:id="71"/>
      <w:bookmarkEnd w:id="72"/>
      <w:r>
        <w:rPr>
          <w:rFonts w:ascii="宋体" w:hAnsi="宋体" w:cs="宋体"/>
          <w:b/>
          <w:bCs/>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进一步加大对疆内外本科院校应届毕业生的宣传力度，吸引更多应届毕业生报考，增加第一志愿上线考生的比率，提高生源质量。</w:t>
      </w:r>
    </w:p>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9B2C92-D175-495F-A25F-22AAC5332C5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embedRegular r:id="rId2" w:fontKey="{77C9DB53-592C-48D8-8E9F-D2FFFE71E257}"/>
  </w:font>
  <w:font w:name="方正小标宋简体">
    <w:panose1 w:val="02000000000000000000"/>
    <w:charset w:val="86"/>
    <w:family w:val="auto"/>
    <w:pitch w:val="default"/>
    <w:sig w:usb0="00000001" w:usb1="080E0000" w:usb2="00000000" w:usb3="00000000" w:csb0="00040000" w:csb1="00000000"/>
    <w:embedRegular r:id="rId3" w:fontKey="{4306194A-658B-4CDC-8056-46F05E6C55A6}"/>
  </w:font>
  <w:font w:name="楷体">
    <w:panose1 w:val="02010609060101010101"/>
    <w:charset w:val="86"/>
    <w:family w:val="modern"/>
    <w:pitch w:val="default"/>
    <w:sig w:usb0="800002BF" w:usb1="38CF7CFA" w:usb2="00000016" w:usb3="00000000" w:csb0="00040001" w:csb1="00000000"/>
    <w:embedRegular r:id="rId4" w:fontKey="{11E68093-169A-40B0-8FC9-8C8E5D14A7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lang w:val="en-US" w:bidi="ar-SA"/>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18</w:t>
                          </w:r>
                          <w: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18</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202"/>
    <w:rsid w:val="00031A90"/>
    <w:rsid w:val="000F2AD2"/>
    <w:rsid w:val="0025779F"/>
    <w:rsid w:val="002C03CE"/>
    <w:rsid w:val="00371ADD"/>
    <w:rsid w:val="005A06CA"/>
    <w:rsid w:val="0065188E"/>
    <w:rsid w:val="00683499"/>
    <w:rsid w:val="0068514B"/>
    <w:rsid w:val="008279A0"/>
    <w:rsid w:val="00AB26D8"/>
    <w:rsid w:val="00B135E2"/>
    <w:rsid w:val="00BC5202"/>
    <w:rsid w:val="00D2483E"/>
    <w:rsid w:val="00DF50D2"/>
    <w:rsid w:val="00E53349"/>
    <w:rsid w:val="015458EB"/>
    <w:rsid w:val="1B75532E"/>
    <w:rsid w:val="30265C6A"/>
    <w:rsid w:val="36975774"/>
    <w:rsid w:val="3B455AD7"/>
    <w:rsid w:val="55383C3A"/>
    <w:rsid w:val="59120CFB"/>
    <w:rsid w:val="5ADC31B6"/>
    <w:rsid w:val="5DE82775"/>
    <w:rsid w:val="638862BD"/>
    <w:rsid w:val="77EA1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578" w:lineRule="auto"/>
      <w:outlineLvl w:val="0"/>
    </w:pPr>
    <w:rPr>
      <w:b/>
      <w:bCs/>
      <w:kern w:val="44"/>
      <w:sz w:val="44"/>
      <w:szCs w:val="44"/>
    </w:rPr>
  </w:style>
  <w:style w:type="paragraph" w:styleId="5">
    <w:name w:val="heading 3"/>
    <w:next w:val="1"/>
    <w:qFormat/>
    <w:uiPriority w:val="0"/>
    <w:pPr>
      <w:widowControl w:val="0"/>
      <w:spacing w:line="600" w:lineRule="exact"/>
      <w:ind w:firstLine="640"/>
      <w:jc w:val="both"/>
      <w:outlineLvl w:val="2"/>
    </w:pPr>
    <w:rPr>
      <w:rFonts w:ascii="黑体" w:hAnsi="黑体" w:eastAsia="黑体" w:cs="黑体"/>
      <w:color w:val="000000"/>
      <w:kern w:val="2"/>
      <w:sz w:val="21"/>
      <w:szCs w:val="21"/>
      <w:u w:color="000000"/>
      <w:lang w:val="en-US" w:eastAsia="zh-CN" w:bidi="ar-SA"/>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left="420" w:leftChars="200"/>
    </w:pPr>
  </w:style>
  <w:style w:type="paragraph" w:styleId="6">
    <w:name w:val="Body Text"/>
    <w:basedOn w:val="1"/>
    <w:qFormat/>
    <w:uiPriority w:val="1"/>
    <w:rPr>
      <w:rFonts w:ascii="微软雅黑" w:hAnsi="微软雅黑" w:eastAsia="微软雅黑" w:cs="微软雅黑"/>
      <w:szCs w:val="21"/>
      <w:lang w:val="zh-CN" w:bidi="zh-CN"/>
    </w:rPr>
  </w:style>
  <w:style w:type="paragraph" w:styleId="7">
    <w:name w:val="toc 3"/>
    <w:basedOn w:val="1"/>
    <w:next w:val="1"/>
    <w:uiPriority w:val="0"/>
    <w:pPr>
      <w:ind w:left="840" w:leftChars="400"/>
    </w:pPr>
  </w:style>
  <w:style w:type="paragraph" w:styleId="8">
    <w:name w:val="Balloon Text"/>
    <w:basedOn w:val="1"/>
    <w:link w:val="22"/>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qFormat/>
    <w:uiPriority w:val="99"/>
    <w:rPr>
      <w:rFonts w:cs="Times New Roman"/>
      <w:color w:val="0563C1"/>
      <w:u w:val="single"/>
    </w:rPr>
  </w:style>
  <w:style w:type="paragraph" w:customStyle="1" w:styleId="17">
    <w:name w:val="Table Paragraph"/>
    <w:basedOn w:val="1"/>
    <w:qFormat/>
    <w:uiPriority w:val="1"/>
    <w:rPr>
      <w:rFonts w:ascii="宋体" w:hAnsi="宋体" w:cs="宋体"/>
      <w:lang w:val="zh-CN" w:bidi="zh-CN"/>
    </w:rPr>
  </w:style>
  <w:style w:type="paragraph" w:customStyle="1" w:styleId="18">
    <w:name w:val="TOC 标题3"/>
    <w:basedOn w:val="4"/>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9">
    <w:name w:val="p0"/>
    <w:basedOn w:val="1"/>
    <w:qFormat/>
    <w:uiPriority w:val="0"/>
    <w:pPr>
      <w:widowControl/>
    </w:pPr>
    <w:rPr>
      <w:rFonts w:cs="Calibri"/>
      <w:kern w:val="0"/>
    </w:rPr>
  </w:style>
  <w:style w:type="paragraph" w:customStyle="1" w:styleId="20">
    <w:name w:val="WPSOffice手动目录 1"/>
    <w:qFormat/>
    <w:uiPriority w:val="0"/>
    <w:rPr>
      <w:rFonts w:ascii="Calibri" w:hAnsi="Calibri" w:eastAsia="宋体" w:cs="宋体"/>
      <w:lang w:val="en-US" w:eastAsia="zh-CN" w:bidi="ar-SA"/>
    </w:rPr>
  </w:style>
  <w:style w:type="paragraph" w:customStyle="1" w:styleId="21">
    <w:name w:val="WPSOffice手动目录 2"/>
    <w:qFormat/>
    <w:uiPriority w:val="0"/>
    <w:pPr>
      <w:ind w:left="200" w:leftChars="200"/>
    </w:pPr>
    <w:rPr>
      <w:rFonts w:ascii="Calibri" w:hAnsi="Calibri" w:eastAsia="宋体" w:cs="宋体"/>
      <w:lang w:val="en-US" w:eastAsia="zh-CN" w:bidi="ar-SA"/>
    </w:rPr>
  </w:style>
  <w:style w:type="character" w:customStyle="1" w:styleId="22">
    <w:name w:val="批注框文本 Char"/>
    <w:basedOn w:val="15"/>
    <w:link w:val="8"/>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chart" Target="charts/chart5.xml"/><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pn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570;&#39292;&#22270;&#25968;&#2545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570;&#39292;&#22270;&#25968;&#2545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570;&#39292;&#22270;&#25968;&#2545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Desktop\&#20570;&#39292;&#22270;&#25968;&#2545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Desktop\&#20570;&#39292;&#22270;&#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spc="0" baseline="0">
                <a:solidFill>
                  <a:schemeClr val="tx1">
                    <a:lumMod val="65000"/>
                    <a:lumOff val="35000"/>
                  </a:schemeClr>
                </a:solidFill>
                <a:latin typeface="+mn-lt"/>
                <a:ea typeface="+mn-ea"/>
                <a:cs typeface="+mn-cs"/>
              </a:defRPr>
            </a:pPr>
            <a:r>
              <a:rPr lang="zh-CN" altLang="en-US" sz="1200" b="1"/>
              <a:t>师资队伍职称结构</a:t>
            </a:r>
            <a:endParaRPr lang="zh-CN" altLang="en-US" sz="1200" b="1"/>
          </a:p>
        </c:rich>
      </c:tx>
      <c:layout>
        <c:manualLayout>
          <c:xMode val="edge"/>
          <c:yMode val="edge"/>
          <c:x val="0.113754248007159"/>
          <c:y val="0.0729046284812795"/>
        </c:manualLayout>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dPt>
            <c:idx val="2"/>
            <c:bubble3D val="0"/>
            <c:spPr>
              <a:solidFill>
                <a:schemeClr val="accent5"/>
              </a:solidFill>
              <a:ln w="19050">
                <a:solidFill>
                  <a:schemeClr val="lt1"/>
                </a:solidFill>
              </a:ln>
              <a:effectLst/>
            </c:spPr>
          </c:dPt>
          <c:dLbls>
            <c:dLbl>
              <c:idx val="2"/>
              <c:layout>
                <c:manualLayout>
                  <c:x val="0.220858307983893"/>
                  <c:y val="0.140430395720133"/>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263093788063337"/>
                      <c:h val="0.123955099116312"/>
                    </c:manualLayout>
                  </c15:layout>
                </c:ext>
              </c:extLst>
            </c:dLbl>
            <c:spPr>
              <a:noFill/>
              <a:ln>
                <a:noFill/>
              </a:ln>
              <a:effectLst/>
            </c:spPr>
            <c:txPr>
              <a:bodyPr rot="-120000" spcFirstLastPara="0" vertOverflow="ellipsis" vert="horz" wrap="square" lIns="38100" tIns="19050" rIns="38100" bIns="19050" anchor="b" anchorCtr="1"/>
              <a:lstStyle/>
              <a:p>
                <a:pPr>
                  <a:defRPr lang="zh-CN" sz="1200" b="1"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[做饼图数据.xlsx]Sheet1!$A$3:$A$5</c:f>
              <c:strCache>
                <c:ptCount val="3"/>
                <c:pt idx="0">
                  <c:v>正高级</c:v>
                </c:pt>
                <c:pt idx="1">
                  <c:v>副高级</c:v>
                </c:pt>
                <c:pt idx="2">
                  <c:v>中级</c:v>
                </c:pt>
              </c:strCache>
            </c:strRef>
          </c:cat>
          <c:val>
            <c:numRef>
              <c:f>[做饼图数据.xlsx]Sheet1!$B$3:$B$5</c:f>
              <c:numCache>
                <c:formatCode>0%</c:formatCode>
                <c:ptCount val="3"/>
                <c:pt idx="0">
                  <c:v>0.5</c:v>
                </c:pt>
                <c:pt idx="1">
                  <c:v>0.285714285714286</c:v>
                </c:pt>
                <c:pt idx="2">
                  <c:v>0.214285714285714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136825010150223"/>
          <c:y val="0.830472606037926"/>
          <c:w val="0.627283800243605"/>
          <c:h val="0.161690948172916"/>
        </c:manualLayout>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sz="1000" b="1"/>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spc="0" baseline="0">
                <a:solidFill>
                  <a:schemeClr val="tx1">
                    <a:lumMod val="65000"/>
                    <a:lumOff val="35000"/>
                  </a:schemeClr>
                </a:solidFill>
                <a:latin typeface="+mn-lt"/>
                <a:ea typeface="+mn-ea"/>
                <a:cs typeface="+mn-cs"/>
              </a:defRPr>
            </a:pPr>
            <a:r>
              <a:rPr lang="zh-CN" altLang="en-US" sz="1200" b="1"/>
              <a:t>师资队伍学历结构</a:t>
            </a:r>
            <a:endParaRPr lang="zh-CN" altLang="en-US" sz="1200" b="1"/>
          </a:p>
        </c:rich>
      </c:tx>
      <c:layout/>
      <c:overlay val="0"/>
      <c:spPr>
        <a:noFill/>
        <a:ln>
          <a:noFill/>
        </a:ln>
        <a:effectLst/>
      </c:spPr>
    </c:title>
    <c:autoTitleDeleted val="0"/>
    <c:plotArea>
      <c:layout>
        <c:manualLayout>
          <c:layoutTarget val="inner"/>
          <c:xMode val="edge"/>
          <c:yMode val="edge"/>
          <c:x val="0.11984490659147"/>
          <c:y val="0.21551518049247"/>
          <c:w val="0.812125484666902"/>
          <c:h val="0.550800860626345"/>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dLbls>
            <c:dLbl>
              <c:idx val="0"/>
              <c:layout>
                <c:manualLayout>
                  <c:x val="-0.183117604665114"/>
                  <c:y val="-0.17565623617359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38191504743535"/>
                  <c:y val="0.13644483802054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[做饼图数据.xlsx]Sheet1!$A$16:$A$17</c:f>
              <c:strCache>
                <c:ptCount val="2"/>
                <c:pt idx="0">
                  <c:v>博士及在读博士</c:v>
                </c:pt>
                <c:pt idx="1">
                  <c:v>硕士</c:v>
                </c:pt>
              </c:strCache>
            </c:strRef>
          </c:cat>
          <c:val>
            <c:numRef>
              <c:f>[做饼图数据.xlsx]Sheet1!$B$16:$B$17</c:f>
              <c:numCache>
                <c:formatCode>0%</c:formatCode>
                <c:ptCount val="2"/>
                <c:pt idx="0">
                  <c:v>0.785714285714286</c:v>
                </c:pt>
                <c:pt idx="1">
                  <c:v>0.214285714285714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110504053577723"/>
          <c:y val="0.8288309825484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sz="100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spc="0" baseline="0">
                <a:solidFill>
                  <a:schemeClr val="tx1">
                    <a:lumMod val="65000"/>
                    <a:lumOff val="35000"/>
                  </a:schemeClr>
                </a:solidFill>
                <a:latin typeface="+mn-lt"/>
                <a:ea typeface="+mn-ea"/>
                <a:cs typeface="+mn-cs"/>
              </a:defRPr>
            </a:pPr>
            <a:r>
              <a:rPr lang="zh-CN" altLang="en-US" sz="1200" b="1"/>
              <a:t>师资队伍年龄结构</a:t>
            </a:r>
            <a:endParaRPr lang="zh-CN" altLang="en-US" sz="1200" b="1"/>
          </a:p>
        </c:rich>
      </c:tx>
      <c:layout>
        <c:manualLayout>
          <c:xMode val="edge"/>
          <c:yMode val="edge"/>
          <c:x val="0.141262509622787"/>
          <c:y val="0.0525946704067321"/>
        </c:manualLayout>
      </c:layout>
      <c:overlay val="0"/>
      <c:spPr>
        <a:noFill/>
        <a:ln>
          <a:noFill/>
        </a:ln>
        <a:effectLst/>
      </c:spPr>
    </c:title>
    <c:autoTitleDeleted val="0"/>
    <c:plotArea>
      <c:layout>
        <c:manualLayout>
          <c:layoutTarget val="inner"/>
          <c:xMode val="edge"/>
          <c:yMode val="edge"/>
          <c:x val="0.0846805234795997"/>
          <c:y val="0.22674146797569"/>
          <c:w val="0.893379522709777"/>
          <c:h val="0.542543244506779"/>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dPt>
            <c:idx val="2"/>
            <c:bubble3D val="0"/>
            <c:spPr>
              <a:solidFill>
                <a:schemeClr val="accent5"/>
              </a:solidFill>
              <a:ln w="19050">
                <a:solidFill>
                  <a:schemeClr val="lt1"/>
                </a:solidFill>
              </a:ln>
              <a:effectLst/>
            </c:spPr>
          </c:dPt>
          <c:dLbls>
            <c:dLbl>
              <c:idx val="0"/>
              <c:layout>
                <c:manualLayout>
                  <c:x val="-0.171075732119712"/>
                  <c:y val="0.121108877261512"/>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225558121632025"/>
                      <c:h val="0.149368863955119"/>
                    </c:manualLayout>
                  </c15:layout>
                </c:ext>
              </c:extLst>
            </c:dLbl>
            <c:dLbl>
              <c:idx val="1"/>
              <c:layout>
                <c:manualLayout>
                  <c:x val="-0.0635656264408537"/>
                  <c:y val="-0.000210296464622902"/>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225173210161663"/>
                      <c:h val="0.0820476858345021"/>
                    </c:manualLayout>
                  </c15:layout>
                </c:ext>
              </c:extLst>
            </c:dLbl>
            <c:dLbl>
              <c:idx val="2"/>
              <c:layout>
                <c:manualLayout>
                  <c:x val="0.218953893242971"/>
                  <c:y val="-0.155942742448713"/>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29869130100077"/>
                      <c:h val="0.149368863955119"/>
                    </c:manualLayout>
                  </c15:layout>
                </c:ext>
              </c:extLst>
            </c:dLbl>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[做饼图数据.xlsx]Sheet1!$A$22:$A$24</c:f>
              <c:strCache>
                <c:ptCount val="3"/>
                <c:pt idx="0">
                  <c:v>35岁及以下</c:v>
                </c:pt>
                <c:pt idx="1">
                  <c:v>36至45岁</c:v>
                </c:pt>
                <c:pt idx="2">
                  <c:v>46至59岁</c:v>
                </c:pt>
              </c:strCache>
            </c:strRef>
          </c:cat>
          <c:val>
            <c:numRef>
              <c:f>[做饼图数据.xlsx]Sheet1!$B$22:$B$24</c:f>
              <c:numCache>
                <c:formatCode>0%</c:formatCode>
                <c:ptCount val="3"/>
                <c:pt idx="0">
                  <c:v>0.214285714285714</c:v>
                </c:pt>
                <c:pt idx="1">
                  <c:v>0.0714285714285714</c:v>
                </c:pt>
                <c:pt idx="2">
                  <c:v>0.714285714285714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b="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spc="0" baseline="0">
                <a:solidFill>
                  <a:schemeClr val="tx1">
                    <a:lumMod val="65000"/>
                    <a:lumOff val="35000"/>
                  </a:schemeClr>
                </a:solidFill>
                <a:latin typeface="+mn-lt"/>
                <a:ea typeface="+mn-ea"/>
                <a:cs typeface="+mn-cs"/>
              </a:defRPr>
            </a:pPr>
            <a:r>
              <a:rPr lang="zh-CN" altLang="en-US" sz="1200" b="1"/>
              <a:t>毕业生签约单位类型分布</a:t>
            </a:r>
            <a:endParaRPr lang="zh-CN" altLang="en-US" sz="1200" b="1"/>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0348210978567888"/>
                  <c:y val="0.13963957697825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95283286598217"/>
                  <c:y val="0.096681113751516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754915475800653"/>
                  <c:y val="0.079992152882896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[做饼图数据.xlsx]Sheet2!$A$2:$E$2</c:f>
              <c:strCache>
                <c:ptCount val="5"/>
                <c:pt idx="0">
                  <c:v>党政机关</c:v>
                </c:pt>
                <c:pt idx="1">
                  <c:v>中初等教育单位</c:v>
                </c:pt>
                <c:pt idx="2">
                  <c:v>其他事业单位</c:v>
                </c:pt>
                <c:pt idx="3">
                  <c:v>国有企业</c:v>
                </c:pt>
                <c:pt idx="4">
                  <c:v>民营企业</c:v>
                </c:pt>
              </c:strCache>
            </c:strRef>
          </c:cat>
          <c:val>
            <c:numRef>
              <c:f>[做饼图数据.xlsx]Sheet2!$A$3:$E$3</c:f>
              <c:numCache>
                <c:formatCode>0%</c:formatCode>
                <c:ptCount val="5"/>
                <c:pt idx="0">
                  <c:v>0.09</c:v>
                </c:pt>
                <c:pt idx="1">
                  <c:v>0.0434782608695652</c:v>
                </c:pt>
                <c:pt idx="2">
                  <c:v>0.0434782608695652</c:v>
                </c:pt>
                <c:pt idx="3">
                  <c:v>0.304347826086957</c:v>
                </c:pt>
                <c:pt idx="4">
                  <c:v>0.521739130434783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spc="0" baseline="0">
                <a:solidFill>
                  <a:schemeClr val="tx1">
                    <a:lumMod val="65000"/>
                    <a:lumOff val="35000"/>
                  </a:schemeClr>
                </a:solidFill>
                <a:latin typeface="+mn-lt"/>
                <a:ea typeface="+mn-ea"/>
                <a:cs typeface="+mn-cs"/>
              </a:defRPr>
            </a:pPr>
            <a:r>
              <a:rPr lang="zh-CN" altLang="en-US" sz="1200" b="1"/>
              <a:t>校内导师职称结构</a:t>
            </a:r>
            <a:endParaRPr lang="zh-CN" altLang="en-US" sz="1200" b="1"/>
          </a:p>
        </c:rich>
      </c:tx>
      <c:layout>
        <c:manualLayout>
          <c:xMode val="edge"/>
          <c:yMode val="edge"/>
          <c:x val="0.27314785698563"/>
          <c:y val="0.0447316589201843"/>
        </c:manualLayout>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[做饼图数据.xlsx]Sheet2!$A$10:$A$11</c:f>
              <c:strCache>
                <c:ptCount val="2"/>
                <c:pt idx="0">
                  <c:v>教授</c:v>
                </c:pt>
                <c:pt idx="1">
                  <c:v>副教授</c:v>
                </c:pt>
              </c:strCache>
            </c:strRef>
          </c:cat>
          <c:val>
            <c:numRef>
              <c:f>[做饼图数据.xlsx]Sheet2!$B$10:$B$11</c:f>
              <c:numCache>
                <c:formatCode>0%</c:formatCode>
                <c:ptCount val="2"/>
                <c:pt idx="0">
                  <c:v>0.666666666666667</c:v>
                </c:pt>
                <c:pt idx="1">
                  <c:v>0.333333333333333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209647495361781"/>
          <c:y val="0.853289863663308"/>
          <c:w val="0.570500927643785"/>
          <c:h val="0.111144042679312"/>
        </c:manualLayout>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sz="1000"/>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21</Pages>
  <Words>1946</Words>
  <Characters>11093</Characters>
  <Lines>92</Lines>
  <Paragraphs>26</Paragraphs>
  <TotalTime>16</TotalTime>
  <ScaleCrop>false</ScaleCrop>
  <LinksUpToDate>false</LinksUpToDate>
  <CharactersWithSpaces>13013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2022-02-28T09:29:00Z</dcterms:created>
  <dc:creator>那晓惠</dc:creator>
  <cp:lastModifiedBy>那晓惠</cp:lastModifiedBy>
  <dcterms:modified xsi:type="dcterms:W3CDTF">2022-02-28T09:55:08Z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F9242F25DF674B308CC06AA79F403E3D</vt:lpwstr>
  </property>
</Properties>
</file>